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odttf" ContentType="application/vnd.openxmlformats-officedocument.obfuscatedFont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media/rId26.png" ContentType="image/png"/>
  <Override PartName="/word/media/rId29.png" ContentType="image/png"/>
  <Override PartName="/word/media/rId20.png" ContentType="image/png"/>
  <Override PartName="/word/media/rId50.png" ContentType="image/png"/>
  <Override PartName="/word/media/rId23.png" ContentType="image/png"/>
  <Override PartName="/word/media/rId47.png" ContentType="image/png"/>
  <Override PartName="/word/media/rId44.png" ContentType="image/png"/>
  <Override PartName="/word/media/rId41.png" ContentType="image/png"/>
  <Override PartName="/word/media/rId38.png" ContentType="image/png"/>
  <Override PartName="/word/media/rId35.png" ContentType="image/png"/>
  <Override PartName="/word/media/rId32.png" ContentType="image/png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Title"/>
      </w:pPr>
      <w:r>
        <w:t xml:space="preserve">Mass</w:t>
      </w:r>
      <w:r>
        <w:t xml:space="preserve"> </w:t>
      </w:r>
      <w:r>
        <w:t xml:space="preserve">valuation</w:t>
      </w:r>
      <w:r>
        <w:t xml:space="preserve"> </w:t>
      </w:r>
      <w:r>
        <w:t xml:space="preserve">of</w:t>
      </w:r>
      <w:r>
        <w:t xml:space="preserve"> </w:t>
      </w:r>
      <w:r>
        <w:t xml:space="preserve">agricultural</w:t>
      </w:r>
      <w:r>
        <w:t xml:space="preserve"> </w:t>
      </w:r>
      <w:r>
        <w:t xml:space="preserve">land</w:t>
      </w:r>
      <w:r>
        <w:t xml:space="preserve"> </w:t>
      </w:r>
      <w:r>
        <w:t xml:space="preserve">in</w:t>
      </w:r>
      <w:r>
        <w:t xml:space="preserve"> </w:t>
      </w:r>
      <w:r>
        <w:t xml:space="preserve">Ukraine:</w:t>
      </w:r>
      <w:r>
        <w:t xml:space="preserve"> </w:t>
      </w:r>
      <w:r>
        <w:t xml:space="preserve">regression</w:t>
      </w:r>
      <w:r>
        <w:t xml:space="preserve"> </w:t>
      </w:r>
      <w:r>
        <w:t xml:space="preserve">results</w:t>
      </w:r>
    </w:p>
    <w:p>
      <w:pPr>
        <w:pStyle w:val="Author"/>
      </w:pPr>
      <w:r>
        <w:t xml:space="preserve">Eduard</w:t>
      </w:r>
      <w:r>
        <w:t xml:space="preserve"> </w:t>
      </w:r>
      <w:r>
        <w:t xml:space="preserve">Bukin</w:t>
      </w:r>
      <w:r>
        <w:t xml:space="preserve"> </w:t>
      </w:r>
      <w:r>
        <w:t xml:space="preserve">ebukin@worldbank.org</w:t>
      </w:r>
    </w:p>
    <w:p>
      <w:pPr>
        <w:pStyle w:val="Date"/>
      </w:pPr>
      <w:r>
        <w:t xml:space="preserve">2024-11-20</w:t>
      </w:r>
    </w:p>
    <w:p>
      <w:r>
        <w:br w:type="page"/>
      </w:r>
    </w:p>
    <w:p>
      <w:pPr>
        <w:pStyle w:val="FirstParagraph"/>
      </w:pPr>
      <w:r>
        <w:rPr>
          <w:b/>
          <w:bCs/>
        </w:rPr>
        <w:t xml:space="preserve">Table 1. Descriptive statistics for transacted and non-transacted parcels</w:t>
      </w:r>
    </w:p>
    <w:tbl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pic="http://schemas.openxmlformats.org/drawingml/2006/picture">
      <w:tblPr>
        <w:tblLayout w:type="fixed"/>
        <w:jc w:val="center"/>
        <w:tblLook w:firstRow="1" w:lastRow="0" w:firstColumn="0" w:lastColumn="0" w:noHBand="0" w:noVBand="1"/>
      </w:tblPr>
      <w:tblGrid>
        <w:gridCol w:w="3610"/>
        <w:gridCol w:w="2018"/>
        <w:gridCol w:w="2311"/>
        <w:gridCol w:w="1421"/>
      </w:tblGrid>
      <w:tr>
        <w:trPr>
          <w:trHeight w:val="574" w:hRule="auto"/>
          <w:tblHeader/>
        </w:trPr>
        header 1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  <w:t xml:space="preserve"> 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center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  <w:t xml:space="preserve">Transacted parcels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center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  <w:t xml:space="preserve">Not transacted parcels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center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  <w:t xml:space="preserve">Difference</w:t>
            </w:r>
          </w:p>
        </w:tc>
      </w:tr>
      <w:tr>
        <w:trPr>
          <w:trHeight w:val="574" w:hRule="auto"/>
        </w:trPr>
        body 1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Price per ha, USD (2024)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1097.99 (811.70)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 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 </w:t>
            </w:r>
          </w:p>
        </w:tc>
      </w:tr>
      <w:tr>
        <w:trPr>
          <w:trHeight w:val="574" w:hRule="auto"/>
        </w:trPr>
        body 2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NMV per ha, USD (2024)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759.71 (354.02)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716.54 (916.75)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-43.168***</w:t>
            </w:r>
          </w:p>
        </w:tc>
      </w:tr>
      <w:tr>
        <w:trPr>
          <w:trHeight w:val="574" w:hRule="auto"/>
        </w:trPr>
        body 3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Plot size, ha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3.12 (2.67)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2.75 (2.81)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-0.374***</w:t>
            </w:r>
          </w:p>
        </w:tc>
      </w:tr>
      <w:tr>
        <w:trPr>
          <w:trHeight w:val="574" w:hRule="auto"/>
        </w:trPr>
        body 4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Dist. motorway, km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27.21 (23.15)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28.68 (24.09)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1.469***</w:t>
            </w:r>
          </w:p>
        </w:tc>
      </w:tr>
      <w:tr>
        <w:trPr>
          <w:trHeight w:val="574" w:hRule="auto"/>
        </w:trPr>
        body 5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Dist. primary road, km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12.09 (10.32)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12.52 (10.54)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0.430***</w:t>
            </w:r>
          </w:p>
        </w:tc>
      </w:tr>
      <w:tr>
        <w:trPr>
          <w:trHeight w:val="574" w:hRule="auto"/>
        </w:trPr>
        body 6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Dist. secondary road, km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6.85 (5.47)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7.01 (5.68)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0.157***</w:t>
            </w:r>
          </w:p>
        </w:tc>
      </w:tr>
      <w:tr>
        <w:trPr>
          <w:trHeight w:val="574" w:hRule="auto"/>
        </w:trPr>
        body 7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Dist. tertiary road, km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2.21 (1.88)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2.35 (2.21)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0.136***</w:t>
            </w:r>
          </w:p>
        </w:tc>
      </w:tr>
      <w:tr>
        <w:trPr>
          <w:trHeight w:val="574" w:hRule="auto"/>
        </w:trPr>
        body 8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Dist. port, km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338.48 (144.65)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344.34 (163.20)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5.867***</w:t>
            </w:r>
          </w:p>
        </w:tc>
      </w:tr>
      <w:tr>
        <w:trPr>
          <w:trHeight w:val="574" w:hRule="auto"/>
        </w:trPr>
        body 9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Dist. railway, km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10.05 (7.89)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10.35 (8.16)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0.301***</w:t>
            </w:r>
          </w:p>
        </w:tc>
      </w:tr>
      <w:tr>
        <w:trPr>
          <w:trHeight w:val="574" w:hRule="auto"/>
        </w:trPr>
        body10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Dist. city, km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52.38 (33.06)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52.24 (33.16)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-0.139</w:t>
            </w:r>
          </w:p>
        </w:tc>
      </w:tr>
      <w:tr>
        <w:trPr>
          <w:trHeight w:val="574" w:hRule="auto"/>
        </w:trPr>
        body11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Dist. elevator, km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11.86 (7.48)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12.64 (7.67)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0.785***</w:t>
            </w:r>
          </w:p>
        </w:tc>
      </w:tr>
      <w:tr>
        <w:trPr>
          <w:trHeight w:val="574" w:hRule="auto"/>
        </w:trPr>
        body12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Built-up 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0.20 (3.13)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0.27 (4.05)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0.073***</w:t>
            </w:r>
          </w:p>
        </w:tc>
      </w:tr>
      <w:tr>
        <w:trPr>
          <w:trHeight w:val="574" w:hRule="auto"/>
        </w:trPr>
        body13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Cropped 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86.90 (29.02)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79.87 (35.67)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-7.025***</w:t>
            </w:r>
          </w:p>
        </w:tc>
      </w:tr>
      <w:tr>
        <w:trPr>
          <w:trHeight w:val="574" w:hRule="auto"/>
        </w:trPr>
        body14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Forested 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1.49 (8.62)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1.91 (10.65)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0.426***</w:t>
            </w:r>
          </w:p>
        </w:tc>
      </w:tr>
      <w:tr>
        <w:trPr>
          <w:trHeight w:val="574" w:hRule="auto"/>
        </w:trPr>
        body15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Grassland 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11.02 (26.35)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17.21 (32.74)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6.185***</w:t>
            </w:r>
          </w:p>
        </w:tc>
      </w:tr>
      <w:tr>
        <w:trPr>
          <w:trHeight w:val="574" w:hRule="auto"/>
        </w:trPr>
        body16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Soil density 0-60cm, cg/cm3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130.79 (4.74)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131.36 (4.84)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0.572***</w:t>
            </w:r>
          </w:p>
        </w:tc>
      </w:tr>
      <w:tr>
        <w:trPr>
          <w:trHeight w:val="574" w:hRule="auto"/>
        </w:trPr>
        body17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Soil nitrogen 0-60cm,  cg/kg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394.19 (82.00)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389.95 (87.79)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-4.241***</w:t>
            </w:r>
          </w:p>
        </w:tc>
      </w:tr>
      <w:tr>
        <w:trPr>
          <w:trHeight w:val="574" w:hRule="auto"/>
        </w:trPr>
        body18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Soil pH 0-60cm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68.66 (3.14)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68.32 (3.51)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-0.341***</w:t>
            </w:r>
          </w:p>
        </w:tc>
      </w:tr>
      <w:tr>
        <w:trPr>
          <w:trHeight w:val="574" w:hRule="auto"/>
        </w:trPr>
        body19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Soil organic content, t/ha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59.47 (8.30)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58.64 (8.70)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-0.831***</w:t>
            </w:r>
          </w:p>
        </w:tc>
      </w:tr>
      <w:tr>
        <w:trPr>
          <w:trHeight w:val="574" w:hRule="auto"/>
        </w:trPr>
        body20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War (0|1)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0.79 (0.41)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1.00 (0.00)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0.213***</w:t>
            </w:r>
          </w:p>
        </w:tc>
      </w:tr>
      <w:tr>
        <w:trPr>
          <w:trHeight w:val="574" w:hRule="auto"/>
        </w:trPr>
        body21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Price below NMV (0|1)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0.29 (0.45)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0.00 (0.00)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-0.292***</w:t>
            </w:r>
          </w:p>
        </w:tc>
      </w:tr>
      <w:tr>
        <w:trPr>
          <w:trHeight w:val="574" w:hRule="auto"/>
        </w:trPr>
        body22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Missing NMV (0|1)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0.01 (0.08)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0.00 (0.00)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-0.007***</w:t>
            </w:r>
          </w:p>
        </w:tc>
      </w:tr>
      <w:tr>
        <w:trPr>
          <w:trHeight w:val="575" w:hRule="auto"/>
        </w:trPr>
        body23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N subjects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1.00 (0.07)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1.00 (0.00)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-0.003***</w:t>
            </w:r>
          </w:p>
        </w:tc>
      </w:tr>
      <w:tr>
        <w:trPr>
          <w:trHeight w:val="574" w:hRule="auto"/>
        </w:trPr>
        body24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No. of transactions (1-latest, 5-oldest)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1.02 (0.15)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1.00 (0.00)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-0.022***</w:t>
            </w:r>
          </w:p>
        </w:tc>
      </w:tr>
      <w:tr>
        <w:trPr>
          <w:trHeight w:val="574" w:hRule="auto"/>
        </w:trPr>
        body25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Transaction number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1.05 (0.22)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1.00 (0.00)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-0.049***</w:t>
            </w:r>
          </w:p>
        </w:tc>
      </w:tr>
      <w:tr>
        <w:trPr>
          <w:trHeight w:val="566" w:hRule="auto"/>
        </w:trPr>
        body26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Total area, 1000 ha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550.9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20,452.0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 </w:t>
            </w:r>
          </w:p>
        </w:tc>
      </w:tr>
      <w:tr>
        <w:trPr>
          <w:trHeight w:val="574" w:hRule="auto"/>
        </w:trPr>
        body27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N non-missing NMV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175,386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1,130,661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 </w:t>
            </w:r>
          </w:p>
        </w:tc>
      </w:tr>
      <w:tr>
        <w:trPr>
          <w:trHeight w:val="562" w:hRule="auto"/>
        </w:trPr>
        body28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No. of obs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176,609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7,448,637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 </w:t>
            </w:r>
          </w:p>
        </w:tc>
      </w:tr>
      <w:tr>
        <w:trPr>
          <w:trHeight w:val="360" w:hRule="auto"/>
        </w:trPr>
        footer 1
        <w:tc>
          <w:tcPr>
            <w:gridSpan w:val="4"/>
            <w:tcBorders>
              <w:bottom w:val="none" w:sz="0" w:space="0" w:color="FFFFFF"/>
              <w:top w:val="single" w:sz="12" w:space="0" w:color="666666"/>
              <w:left w:val="none" w:sz="0" w:space="0" w:color="FFFFFF"/>
              <w:right w:val="none" w:sz="0" w:space="0" w:color="FFFFFF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true"/>
                <w:b w:val="false"/>
                <w:u w:val="none"/>
                <w:sz w:val="18"/>
                <w:szCs w:val="18"/>
                <w:color w:val="000000"/>
              </w:rPr>
              <w:t xml:space="preserve">Note: </w:t>
            </w: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Statistics is reported as: Mean (SD), Column 3 reports the difference in means between parcels that were and were not transacted together with results of a two-sided Welch t-test assuming unequal variances for the significance of the difference. Significance levels are `*` &lt; 0.05, '**' &lt; 0.01, and '***' &lt; 0.001</w:t>
            </w:r>
          </w:p>
        </w:tc>
      </w:tr>
    </w:tbl>
    <w:p>
      <w:r>
        <w:br w:type="page"/>
      </w:r>
    </w:p>
    <w:p>
      <w:pPr>
        <w:pStyle w:val="BodyText"/>
      </w:pPr>
      <w:r>
        <w:rPr>
          <w:b/>
          <w:bCs/>
        </w:rPr>
        <w:t xml:space="preserve">Table 2. Regression results</w:t>
      </w:r>
    </w:p>
    <w:tbl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pic="http://schemas.openxmlformats.org/drawingml/2006/picture">
      <w:tblPr>
        <w:tblLayout w:type="fixed"/>
        <w:jc w:val="center"/>
        <w:tblLook w:firstRow="1" w:lastRow="0" w:firstColumn="0" w:lastColumn="0" w:noHBand="0" w:noVBand="1"/>
      </w:tblPr>
      <w:tblGrid>
        <w:gridCol w:w="2160"/>
        <w:gridCol w:w="804"/>
        <w:gridCol w:w="873"/>
        <w:gridCol w:w="873"/>
        <w:gridCol w:w="1021"/>
        <w:gridCol w:w="1099"/>
        <w:gridCol w:w="908"/>
        <w:gridCol w:w="1018"/>
        <w:gridCol w:w="1053"/>
      </w:tblGrid>
      <w:tr>
        <w:trPr>
          <w:trHeight w:val="538" w:hRule="auto"/>
          <w:tblHeader/>
        </w:trPr>
        header 1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4"/>
                <w:szCs w:val="14"/>
                <w:color w:val="000000"/>
              </w:rPr>
              <w:t xml:space="preserve"> 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center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4"/>
                <w:szCs w:val="14"/>
                <w:color w:val="000000"/>
              </w:rPr>
              <w:t xml:space="preserve">(1) Pooled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center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4"/>
                <w:szCs w:val="14"/>
                <w:color w:val="000000"/>
              </w:rPr>
              <w:t xml:space="preserve">(2) Oblast FE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center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4"/>
                <w:szCs w:val="14"/>
                <w:color w:val="000000"/>
              </w:rPr>
              <w:t xml:space="preserve">(3) Rayon FE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center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4"/>
                <w:szCs w:val="14"/>
                <w:color w:val="000000"/>
              </w:rPr>
              <w:t xml:space="preserve">(4) Old rayon FE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center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4"/>
                <w:szCs w:val="14"/>
                <w:color w:val="000000"/>
              </w:rPr>
              <w:t xml:space="preserve">(5) Community FE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center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4"/>
                <w:szCs w:val="14"/>
                <w:color w:val="000000"/>
              </w:rPr>
              <w:t xml:space="preserve">(6) Village FE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center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4"/>
                <w:szCs w:val="14"/>
                <w:color w:val="000000"/>
              </w:rPr>
              <w:t xml:space="preserve">(7) Cad. zone FE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center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4"/>
                <w:szCs w:val="14"/>
                <w:color w:val="000000"/>
              </w:rPr>
              <w:t xml:space="preserve">(8) Cad. block FE</w:t>
            </w:r>
          </w:p>
        </w:tc>
      </w:tr>
      <w:tr>
        <w:trPr>
          <w:trHeight w:val="538" w:hRule="auto"/>
        </w:trPr>
        body 1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Area HA (log)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13.239***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15.144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15.465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15.123*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15.155**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11.828***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13.473***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11.360***</w:t>
            </w:r>
          </w:p>
        </w:tc>
      </w:tr>
      <w:tr>
        <w:trPr>
          <w:trHeight w:val="538" w:hRule="auto"/>
        </w:trPr>
        body 2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(0.716)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(22.920)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(11.489)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(7.766)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(6.135)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(4.174)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(3.992)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(3.551)</w:t>
            </w:r>
          </w:p>
        </w:tc>
      </w:tr>
      <w:tr>
        <w:trPr>
          <w:trHeight w:val="538" w:hRule="auto"/>
        </w:trPr>
        body 3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Area HA (log squared)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31.304***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35.009***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35.969***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36.093***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34.317***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31.828***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29.189***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30.180***</w:t>
            </w:r>
          </w:p>
        </w:tc>
      </w:tr>
      <w:tr>
        <w:trPr>
          <w:trHeight w:val="538" w:hRule="auto"/>
        </w:trPr>
        body 4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(0.626)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(7.673)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(5.705)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(5.067)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(5.530)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(5.227)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(6.102)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(6.874)</w:t>
            </w:r>
          </w:p>
        </w:tc>
      </w:tr>
      <w:tr>
        <w:trPr>
          <w:trHeight w:val="538" w:hRule="auto"/>
        </w:trPr>
        body 5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War dummy (0|1)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-0.067***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-0.167***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-0.172***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-0.163***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-0.165***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-0.157***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-0.149***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-0.152***</w:t>
            </w:r>
          </w:p>
        </w:tc>
      </w:tr>
      <w:tr>
        <w:trPr>
          <w:trHeight w:val="538" w:hRule="auto"/>
        </w:trPr>
        body 6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(0.008)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(0.027)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(0.023)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(0.017)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(0.016)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(0.012)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(0.011)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(0.010)</w:t>
            </w:r>
          </w:p>
        </w:tc>
      </w:tr>
      <w:tr>
        <w:trPr>
          <w:trHeight w:val="538" w:hRule="auto"/>
        </w:trPr>
        body 7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Year 2022 (0|1)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-0.047***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-0.027*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-0.023*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-0.024**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-0.023**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-0.018**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-0.017**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-0.012</w:t>
            </w:r>
          </w:p>
        </w:tc>
      </w:tr>
      <w:tr>
        <w:trPr>
          <w:trHeight w:val="538" w:hRule="auto"/>
        </w:trPr>
        body 8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(0.007)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(0.014)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(0.013)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(0.010)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(0.011)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(0.008)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(0.008)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(0.008)</w:t>
            </w:r>
          </w:p>
        </w:tc>
      </w:tr>
      <w:tr>
        <w:trPr>
          <w:trHeight w:val="538" w:hRule="auto"/>
        </w:trPr>
        body 9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Year 2023 (0|1)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-0.052***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-0.008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-0.013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-0.018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-0.014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-0.026**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-0.035***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-0.038***</w:t>
            </w:r>
          </w:p>
        </w:tc>
      </w:tr>
      <w:tr>
        <w:trPr>
          <w:trHeight w:val="538" w:hRule="auto"/>
        </w:trPr>
        body10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(0.009)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(0.022)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(0.022)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(0.017)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(0.016)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(0.011)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(0.011)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(0.010)</w:t>
            </w:r>
          </w:p>
        </w:tc>
      </w:tr>
      <w:tr>
        <w:trPr>
          <w:trHeight w:val="538" w:hRule="auto"/>
        </w:trPr>
        body11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Year 2024 (0|1)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-0.042***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-0.007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-0.015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-0.025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-0.020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-0.036***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-0.043***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-0.046***</w:t>
            </w:r>
          </w:p>
        </w:tc>
      </w:tr>
      <w:tr>
        <w:trPr>
          <w:trHeight w:val="538" w:hRule="auto"/>
        </w:trPr>
        body12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(0.009)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(0.023)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(0.025)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(0.019)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(0.018)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(0.013)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(0.012)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(0.011)</w:t>
            </w:r>
          </w:p>
        </w:tc>
      </w:tr>
      <w:tr>
        <w:trPr>
          <w:trHeight w:val="538" w:hRule="auto"/>
        </w:trPr>
        body13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Missing NMV (0|1)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0.297***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0.222***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0.173**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0.145*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0.140*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0.108*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0.087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0.067</w:t>
            </w:r>
          </w:p>
        </w:tc>
      </w:tr>
      <w:tr>
        <w:trPr>
          <w:trHeight w:val="538" w:hRule="auto"/>
        </w:trPr>
        body14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(0.017)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(0.077)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(0.067)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(0.081)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(0.077)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(0.056)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(0.062)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(0.046)</w:t>
            </w:r>
          </w:p>
        </w:tc>
      </w:tr>
      <w:tr>
        <w:trPr>
          <w:trHeight w:val="538" w:hRule="auto"/>
        </w:trPr>
        body15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Sales below NMV (0|1)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-0.349***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-0.347***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-0.347***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-0.335***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-0.336***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-0.311***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-0.306***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-0.293***</w:t>
            </w:r>
          </w:p>
        </w:tc>
      </w:tr>
      <w:tr>
        <w:trPr>
          <w:trHeight w:val="538" w:hRule="auto"/>
        </w:trPr>
        body16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(0.003)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(0.046)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(0.027)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(0.014)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(0.011)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(0.008)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(0.007)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(0.006)</w:t>
            </w:r>
          </w:p>
        </w:tc>
      </w:tr>
      <w:tr>
        <w:trPr>
          <w:trHeight w:val="510" w:hRule="auto"/>
        </w:trPr>
        body17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N benef.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0.325***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0.319***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0.315***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0.302***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0.291***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0.265***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0.254***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0.246***</w:t>
            </w:r>
          </w:p>
        </w:tc>
      </w:tr>
      <w:tr>
        <w:trPr>
          <w:trHeight w:val="538" w:hRule="auto"/>
        </w:trPr>
        body18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(0.021)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(0.065)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(0.056)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(0.055)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(0.045)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(0.044)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(0.044)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(0.046)</w:t>
            </w:r>
          </w:p>
        </w:tc>
      </w:tr>
      <w:tr>
        <w:trPr>
          <w:trHeight w:val="538" w:hRule="auto"/>
        </w:trPr>
        body19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Repeated (1-last/5-old)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0.033***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0.015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0.015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0.009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0.009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0.002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0.001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-0.008</w:t>
            </w:r>
          </w:p>
        </w:tc>
      </w:tr>
      <w:tr>
        <w:trPr>
          <w:trHeight w:val="538" w:hRule="auto"/>
        </w:trPr>
        body20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(0.013)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(0.043)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(0.030)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(0.021)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(0.019)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(0.017)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(0.013)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(0.011)</w:t>
            </w:r>
          </w:p>
        </w:tc>
      </w:tr>
      <w:tr>
        <w:trPr>
          <w:trHeight w:val="510" w:hRule="auto"/>
        </w:trPr>
        body21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N sales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0.016*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0.056*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0.041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0.041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0.031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0.042**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0.041**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0.044***</w:t>
            </w:r>
          </w:p>
        </w:tc>
      </w:tr>
      <w:tr>
        <w:trPr>
          <w:trHeight w:val="538" w:hRule="auto"/>
        </w:trPr>
        body22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(0.009)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(0.028)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(0.038)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(0.029)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(0.026)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(0.019)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(0.018)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(0.014)</w:t>
            </w:r>
          </w:p>
        </w:tc>
      </w:tr>
      <w:tr>
        <w:trPr>
          <w:trHeight w:val="538" w:hRule="auto"/>
        </w:trPr>
        body23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City, km (log)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-0.038***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-0.037**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-0.047***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-0.044***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-0.039***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-0.039**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-0.008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0.000</w:t>
            </w:r>
          </w:p>
        </w:tc>
      </w:tr>
      <w:tr>
        <w:trPr>
          <w:trHeight w:val="538" w:hRule="auto"/>
        </w:trPr>
        body24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(0.001)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(0.014)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(0.012)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(0.014)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(0.014)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(0.018)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(0.007)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(0.007)</w:t>
            </w:r>
          </w:p>
        </w:tc>
      </w:tr>
      <w:tr>
        <w:trPr>
          <w:trHeight w:val="538" w:hRule="auto"/>
        </w:trPr>
        body25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Motorway, km (log)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-0.020***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0.001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0.004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-0.008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-0.011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-0.030***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-0.022***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-0.014**</w:t>
            </w:r>
          </w:p>
        </w:tc>
      </w:tr>
      <w:tr>
        <w:trPr>
          <w:trHeight w:val="538" w:hRule="auto"/>
        </w:trPr>
        body26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(0.001)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(0.011)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(0.012)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(0.008)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(0.007)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(0.009)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(0.009)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(0.006)</w:t>
            </w:r>
          </w:p>
        </w:tc>
      </w:tr>
      <w:tr>
        <w:trPr>
          <w:trHeight w:val="538" w:hRule="auto"/>
        </w:trPr>
        body27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Primary road, km (log)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-0.020***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-0.020*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-0.024***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-0.018***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-0.019***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-0.026***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-0.026***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-0.021***</w:t>
            </w:r>
          </w:p>
        </w:tc>
      </w:tr>
      <w:tr>
        <w:trPr>
          <w:trHeight w:val="538" w:hRule="auto"/>
        </w:trPr>
        body28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(0.001)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(0.010)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(0.008)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(0.006)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(0.006)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(0.007)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(0.009)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(0.006)</w:t>
            </w:r>
          </w:p>
        </w:tc>
      </w:tr>
      <w:tr>
        <w:trPr>
          <w:trHeight w:val="538" w:hRule="auto"/>
        </w:trPr>
        body29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Secondary road, km (log)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-0.004***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-0.006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-0.005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0.001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0.001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-0.014***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-0.018***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-0.017***</w:t>
            </w:r>
          </w:p>
        </w:tc>
      </w:tr>
      <w:tr>
        <w:trPr>
          <w:trHeight w:val="538" w:hRule="auto"/>
        </w:trPr>
        body30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(0.001)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(0.007)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(0.007)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(0.005)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(0.005)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(0.004)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(0.005)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(0.005)</w:t>
            </w:r>
          </w:p>
        </w:tc>
      </w:tr>
      <w:tr>
        <w:trPr>
          <w:trHeight w:val="538" w:hRule="auto"/>
        </w:trPr>
        body31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Tertiary road, km (log)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-0.035***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-0.013**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-0.011***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-0.015***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-0.014***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-0.015***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-0.013***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-0.015***</w:t>
            </w:r>
          </w:p>
        </w:tc>
      </w:tr>
      <w:tr>
        <w:trPr>
          <w:trHeight w:val="538" w:hRule="auto"/>
        </w:trPr>
        body32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(0.001)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(0.005)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(0.004)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(0.003)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(0.003)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(0.003)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(0.003)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(0.003)</w:t>
            </w:r>
          </w:p>
        </w:tc>
      </w:tr>
      <w:tr>
        <w:trPr>
          <w:trHeight w:val="538" w:hRule="auto"/>
        </w:trPr>
        body33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Railway, km (log)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0.004***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0.000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-0.005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-0.003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-0.007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-0.014***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-0.019***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-0.017***</w:t>
            </w:r>
          </w:p>
        </w:tc>
      </w:tr>
      <w:tr>
        <w:trPr>
          <w:trHeight w:val="538" w:hRule="auto"/>
        </w:trPr>
        body34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(0.002)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(0.007)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(0.006)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(0.006)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(0.005)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(0.005)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(0.005)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(0.005)</w:t>
            </w:r>
          </w:p>
        </w:tc>
      </w:tr>
      <w:tr>
        <w:trPr>
          <w:trHeight w:val="538" w:hRule="auto"/>
        </w:trPr>
        body35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Grain storage, km (log)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-0.055***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-0.052**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-0.031**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-0.030**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-0.011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0.000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0.014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0.010</w:t>
            </w:r>
          </w:p>
        </w:tc>
      </w:tr>
      <w:tr>
        <w:trPr>
          <w:trHeight w:val="538" w:hRule="auto"/>
        </w:trPr>
        body36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(0.003)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(0.025)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(0.015)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(0.013)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(0.009)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(0.009)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(0.009)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(0.010)</w:t>
            </w:r>
          </w:p>
        </w:tc>
      </w:tr>
      <w:tr>
        <w:trPr>
          <w:trHeight w:val="538" w:hRule="auto"/>
        </w:trPr>
        body37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Port terminal, km (log)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0.114***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0.062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0.091*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0.094**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0.092*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-0.054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-0.160**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0.011</w:t>
            </w:r>
          </w:p>
        </w:tc>
      </w:tr>
      <w:tr>
        <w:trPr>
          <w:trHeight w:val="538" w:hRule="auto"/>
        </w:trPr>
        body38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(0.004)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(0.051)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(0.049)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(0.040)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(0.054)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(0.078)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(0.081)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(0.092)</w:t>
            </w:r>
          </w:p>
        </w:tc>
      </w:tr>
      <w:tr>
        <w:trPr>
          <w:trHeight w:val="538" w:hRule="auto"/>
        </w:trPr>
        body39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Builtup area share (L1)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1.580***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1.364***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1.331***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1.157***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1.049***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0.889***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0.669***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0.444***</w:t>
            </w:r>
          </w:p>
        </w:tc>
      </w:tr>
      <w:tr>
        <w:trPr>
          <w:trHeight w:val="538" w:hRule="auto"/>
        </w:trPr>
        body40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(0.055)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(0.159)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(0.144)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(0.126)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(0.123)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(0.115)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(0.097)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(0.085)</w:t>
            </w:r>
          </w:p>
        </w:tc>
      </w:tr>
      <w:tr>
        <w:trPr>
          <w:trHeight w:val="538" w:hRule="auto"/>
        </w:trPr>
        body41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Crop area share (L1)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1.116***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0.814***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0.782***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0.731***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0.679***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0.615***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0.569***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0.408***</w:t>
            </w:r>
          </w:p>
        </w:tc>
      </w:tr>
      <w:tr>
        <w:trPr>
          <w:trHeight w:val="538" w:hRule="auto"/>
        </w:trPr>
        body42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(0.032)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(0.095)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(0.077)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(0.071)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(0.073)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(0.066)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(0.062)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(0.061)</w:t>
            </w:r>
          </w:p>
        </w:tc>
      </w:tr>
      <w:tr>
        <w:trPr>
          <w:trHeight w:val="538" w:hRule="auto"/>
        </w:trPr>
        body43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Forest area share (L1)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0.928***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0.710***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0.628***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0.572***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0.497***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0.437***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0.376***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0.221***</w:t>
            </w:r>
          </w:p>
        </w:tc>
      </w:tr>
      <w:tr>
        <w:trPr>
          <w:trHeight w:val="538" w:hRule="auto"/>
        </w:trPr>
        body44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(0.036)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(0.165)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(0.120)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(0.093)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(0.089)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(0.073)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(0.068)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(0.067)</w:t>
            </w:r>
          </w:p>
        </w:tc>
      </w:tr>
      <w:tr>
        <w:trPr>
          <w:trHeight w:val="538" w:hRule="auto"/>
        </w:trPr>
        body45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Grassland area share (L1)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0.728***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0.512***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0.495***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0.454***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0.411***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0.372***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0.336***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0.208***</w:t>
            </w:r>
          </w:p>
        </w:tc>
      </w:tr>
      <w:tr>
        <w:trPr>
          <w:trHeight w:val="538" w:hRule="auto"/>
        </w:trPr>
        body46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(0.032)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(0.119)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(0.094)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(0.077)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(0.074)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(0.069)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(0.064)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(0.063)</w:t>
            </w:r>
          </w:p>
        </w:tc>
      </w:tr>
      <w:tr>
        <w:trPr>
          <w:trHeight w:val="538" w:hRule="auto"/>
        </w:trPr>
        body47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Soil density, cg/cm3 (log)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2.564***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-0.761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-1.607*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-1.880***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-1.641***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-1.746***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-1.595***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-1.216***</w:t>
            </w:r>
          </w:p>
        </w:tc>
      </w:tr>
      <w:tr>
        <w:trPr>
          <w:trHeight w:val="538" w:hRule="auto"/>
        </w:trPr>
        body48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(0.050)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(0.979)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(0.963)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(0.543)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(0.342)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(0.250)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(0.279)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(0.221)</w:t>
            </w:r>
          </w:p>
        </w:tc>
      </w:tr>
      <w:tr>
        <w:trPr>
          <w:trHeight w:val="538" w:hRule="auto"/>
        </w:trPr>
        body49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Soil nitrogen, cg/kg (log)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-36.031***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-26.127***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-10.537*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-10.694***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-8.829***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-7.704***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-7.501***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-11.117***</w:t>
            </w:r>
          </w:p>
        </w:tc>
      </w:tr>
      <w:tr>
        <w:trPr>
          <w:trHeight w:val="538" w:hRule="auto"/>
        </w:trPr>
        body50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(0.830)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(8.288)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(6.021)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(3.680)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(2.552)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(2.018)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(1.971)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(1.922)</w:t>
            </w:r>
          </w:p>
        </w:tc>
      </w:tr>
      <w:tr>
        <w:trPr>
          <w:trHeight w:val="538" w:hRule="auto"/>
        </w:trPr>
        body51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Soil nitrogen, cg/kg (log squared)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-17.673***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-16.586***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-15.578***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-10.036***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-7.427***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-4.476***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-4.413***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-3.527***</w:t>
            </w:r>
          </w:p>
        </w:tc>
      </w:tr>
      <w:tr>
        <w:trPr>
          <w:trHeight w:val="538" w:hRule="auto"/>
        </w:trPr>
        body52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(0.662)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(5.243)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(4.139)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(3.235)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(1.996)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(1.417)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(1.447)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(1.352)</w:t>
            </w:r>
          </w:p>
        </w:tc>
      </w:tr>
      <w:tr>
        <w:trPr>
          <w:trHeight w:val="538" w:hRule="auto"/>
        </w:trPr>
        body53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Soil pH (log)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16.007***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40.774***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45.003***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49.831***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42.129***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38.342***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33.620***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24.998***</w:t>
            </w:r>
          </w:p>
        </w:tc>
      </w:tr>
      <w:tr>
        <w:trPr>
          <w:trHeight w:val="538" w:hRule="auto"/>
        </w:trPr>
        body54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(1.030)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(9.599)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(9.748)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(9.604)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(5.121)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(3.727)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(3.881)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(2.641)</w:t>
            </w:r>
          </w:p>
        </w:tc>
      </w:tr>
      <w:tr>
        <w:trPr>
          <w:trHeight w:val="538" w:hRule="auto"/>
        </w:trPr>
        body55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Soil pH (log squared)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-10.413***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-5.928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0.065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5.756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3.729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5.352**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4.929**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3.001*</w:t>
            </w:r>
          </w:p>
        </w:tc>
      </w:tr>
      <w:tr>
        <w:trPr>
          <w:trHeight w:val="538" w:hRule="auto"/>
        </w:trPr>
        body56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(0.768)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(8.746)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(5.101)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(4.900)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(2.878)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(2.152)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(2.026)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(1.807)</w:t>
            </w:r>
          </w:p>
        </w:tc>
      </w:tr>
      <w:tr>
        <w:trPr>
          <w:trHeight w:val="538" w:hRule="auto"/>
        </w:trPr>
        body57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Soil carbon, t/ha (log)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29.688***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36.760***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23.774***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18.026***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18.790***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17.962***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18.832***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19.657***</w:t>
            </w:r>
          </w:p>
        </w:tc>
      </w:tr>
      <w:tr>
        <w:trPr>
          <w:trHeight w:val="538" w:hRule="auto"/>
        </w:trPr>
        body58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(0.783)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(10.884)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(8.065)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(4.556)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(3.250)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(2.112)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(2.098)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(2.162)</w:t>
            </w:r>
          </w:p>
        </w:tc>
      </w:tr>
      <w:tr>
        <w:trPr>
          <w:trHeight w:val="538" w:hRule="auto"/>
        </w:trPr>
        body59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Soil carbon, t/ha (log squared)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23.458***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16.566***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11.481**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6.709**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7.593***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5.322***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6.034***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6.275***</w:t>
            </w:r>
          </w:p>
        </w:tc>
      </w:tr>
      <w:tr>
        <w:trPr>
          <w:trHeight w:val="538" w:hRule="auto"/>
        </w:trPr>
        body60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(0.621)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(3.531)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(5.288)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(2.914)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(2.417)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(1.520)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(1.553)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(1.592)</w:t>
            </w:r>
          </w:p>
        </w:tc>
      </w:tr>
      <w:tr>
        <w:trPr>
          <w:trHeight w:val="510" w:hRule="auto"/>
        </w:trPr>
        body61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Num.Obs.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176609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176609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176609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176609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176609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176609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176609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176609</w:t>
            </w:r>
          </w:p>
        </w:tc>
      </w:tr>
      <w:tr>
        <w:trPr>
          <w:trHeight w:val="538" w:hRule="auto"/>
        </w:trPr>
        body62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R2 Adj.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0.215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0.293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0.327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0.383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0.422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0.534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0.572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0.610</w:t>
            </w:r>
          </w:p>
        </w:tc>
      </w:tr>
      <w:tr>
        <w:trPr>
          <w:trHeight w:val="538" w:hRule="auto"/>
        </w:trPr>
        body63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R2 Within Adj.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0.188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0.163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0.151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0.143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0.125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0.119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0.108</w:t>
            </w:r>
          </w:p>
        </w:tc>
      </w:tr>
      <w:tr>
        <w:trPr>
          <w:trHeight w:val="508" w:hRule="auto"/>
        </w:trPr>
        body64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RMSE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0.59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0.56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0.54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0.52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0.50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0.44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0.41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0.37</w:t>
            </w:r>
          </w:p>
        </w:tc>
      </w:tr>
      <w:tr>
        <w:trPr>
          <w:trHeight w:val="360" w:hRule="auto"/>
        </w:trPr>
        footer 1
        <w:tc>
          <w:tcPr>
            <w:gridSpan w:val="9"/>
            <w:tcBorders>
              <w:bottom w:val="none" w:sz="0" w:space="0" w:color="FFFFFF"/>
              <w:top w:val="single" w:sz="12" w:space="0" w:color="666666"/>
              <w:left w:val="none" w:sz="0" w:space="0" w:color="FFFFFF"/>
              <w:right w:val="none" w:sz="0" w:space="0" w:color="FFFFFF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Significance levels are: `*` &lt; 0.1, '**' &lt; 0.05, and '***' &lt; 0.01</w:t>
            </w:r>
          </w:p>
        </w:tc>
      </w:tr>
      <w:tr>
        <w:trPr>
          <w:trHeight w:val="360" w:hRule="auto"/>
        </w:trPr>
        footer 2
        <w:tc>
          <w:tcPr>
            <w:gridSpan w:val="9"/>
            <w:tcBorders>
              <w:bottom w:val="none" w:sz="0" w:space="0" w:color="FFFFFF"/>
              <w:top w:val="none" w:sz="0" w:space="0" w:color="FFFFFF"/>
              <w:left w:val="none" w:sz="0" w:space="0" w:color="FFFFFF"/>
              <w:right w:val="none" w:sz="0" w:space="0" w:color="FFFFFF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4"/>
                <w:szCs w:val="14"/>
                <w:color w:val="000000"/>
              </w:rPr>
              <w:t xml:space="preserve">Robust standard errors clustered at the level of fixed effects are reported in brackets.</w:t>
            </w:r>
          </w:p>
        </w:tc>
      </w:tr>
    </w:tbl>
    <w:p>
      <w:r>
        <w:br w:type="page"/>
      </w:r>
    </w:p>
    <w:p>
      <w:pPr>
        <w:pStyle w:val="BodyText"/>
      </w:pPr>
      <w:r>
        <w:rPr>
          <w:b/>
          <w:bCs/>
        </w:rPr>
        <w:t xml:space="preserve">Table 3. Frequency of FE used for in-sample predictions</w:t>
      </w:r>
    </w:p>
    <w:tbl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pic="http://schemas.openxmlformats.org/drawingml/2006/picture">
      <w:tblPr>
        <w:tblLayout w:type="fixed"/>
        <w:jc w:val="center"/>
        <w:tblLook w:firstRow="1" w:lastRow="0" w:firstColumn="0" w:lastColumn="0" w:noHBand="0" w:noVBand="1"/>
      </w:tblPr>
      <w:tblGrid>
        <w:gridCol w:w="1167"/>
        <w:gridCol w:w="968"/>
        <w:gridCol w:w="1158"/>
        <w:gridCol w:w="1099"/>
        <w:gridCol w:w="1236"/>
        <w:gridCol w:w="915"/>
        <w:gridCol w:w="1104"/>
        <w:gridCol w:w="856"/>
        <w:gridCol w:w="856"/>
      </w:tblGrid>
      <w:tr>
        <w:trPr>
          <w:trHeight w:val="574" w:hRule="auto"/>
          <w:tblHeader/>
        </w:trPr>
        header1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  <w:t xml:space="preserve">Region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center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  <w:t xml:space="preserve">Total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center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  <w:t xml:space="preserve">Cad. block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center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  <w:t xml:space="preserve">Cad. zone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center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  <w:t xml:space="preserve">Community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center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  <w:t xml:space="preserve">Village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center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  <w:t xml:space="preserve">Old rayon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center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  <w:t xml:space="preserve">Rayon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center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  <w:t xml:space="preserve">Oblast</w:t>
            </w:r>
          </w:p>
        </w:tc>
      </w:tr>
      <w:tr>
        <w:trPr>
          <w:trHeight w:val="562" w:hRule="auto"/>
        </w:trPr>
        body1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Center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82,133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40,955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25,298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5,640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10,162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72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6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</w:t>
            </w:r>
          </w:p>
        </w:tc>
      </w:tr>
      <w:tr>
        <w:trPr>
          <w:trHeight w:val="562" w:hRule="auto"/>
        </w:trPr>
        body2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East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10,261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4,960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557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1,486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3,134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99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</w:t>
            </w:r>
          </w:p>
        </w:tc>
      </w:tr>
      <w:tr>
        <w:trPr>
          <w:trHeight w:val="562" w:hRule="auto"/>
        </w:trPr>
        body3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North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38,339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19,383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10,984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1,979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5,947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27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19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</w:t>
            </w:r>
          </w:p>
        </w:tc>
      </w:tr>
      <w:tr>
        <w:trPr>
          <w:trHeight w:val="562" w:hRule="auto"/>
        </w:trPr>
        body4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South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22,710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14,284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1,937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2,349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4,015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103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22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</w:t>
            </w:r>
          </w:p>
        </w:tc>
      </w:tr>
      <w:tr>
        <w:trPr>
          <w:trHeight w:val="562" w:hRule="auto"/>
        </w:trPr>
        body5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West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17,793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7,054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2,658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4,162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3,500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363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35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21</w:t>
            </w:r>
          </w:p>
        </w:tc>
      </w:tr>
      <w:tr>
        <w:trPr>
          <w:trHeight w:val="571" w:hRule="auto"/>
        </w:trPr>
        body6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Country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171,236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86,636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41,434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15,616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26,758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664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105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23</w:t>
            </w:r>
          </w:p>
        </w:tc>
      </w:tr>
      <w:tr>
        <w:trPr>
          <w:trHeight w:val="569" w:hRule="auto"/>
        </w:trPr>
        body7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Percentage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/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50.6%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24.2%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9.1%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15.6%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0.4%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0.1%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0.0%</w:t>
            </w:r>
          </w:p>
        </w:tc>
      </w:tr>
    </w:tbl>
    <w:p>
      <w:pPr>
        <w:pStyle w:val="BodyText"/>
      </w:pPr>
      <w:r>
        <w:br/>
      </w:r>
    </w:p>
    <w:p>
      <w:pPr>
        <w:pStyle w:val="BodyText"/>
      </w:pPr>
      <w:r>
        <w:rPr>
          <w:b/>
          <w:bCs/>
        </w:rPr>
        <w:t xml:space="preserve">Table 4. Predictive power of different models by cross-validation split</w:t>
      </w:r>
    </w:p>
    <w:tbl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pic="http://schemas.openxmlformats.org/drawingml/2006/picture">
      <w:tblPr>
        <w:tblLayout w:type="fixed"/>
        <w:jc w:val="center"/>
        <w:tblLook w:firstRow="1" w:lastRow="0" w:firstColumn="0" w:lastColumn="0" w:noHBand="0" w:noVBand="1"/>
      </w:tblPr>
      <w:tblGrid>
        <w:gridCol w:w="2385"/>
        <w:gridCol w:w="1395"/>
        <w:gridCol w:w="1395"/>
        <w:gridCol w:w="1395"/>
        <w:gridCol w:w="1395"/>
        <w:gridCol w:w="1395"/>
      </w:tblGrid>
      <w:tr>
        <w:trPr>
          <w:trHeight w:val="538" w:hRule="auto"/>
          <w:tblHeader/>
        </w:trPr>
        header 1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  <w:t xml:space="preserve">Model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center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  <w:t xml:space="preserve">Fold1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center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  <w:t xml:space="preserve">Fold2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center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  <w:t xml:space="preserve">Fold3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center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  <w:t xml:space="preserve">Fold4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center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  <w:t xml:space="preserve">Fold5</w:t>
            </w:r>
          </w:p>
        </w:tc>
      </w:tr>
      <w:tr>
        <w:trPr>
          <w:trHeight w:val="538" w:hRule="auto"/>
        </w:trPr>
        body 1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Oblast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0.284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0.292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0.293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0.290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0.306</w:t>
            </w:r>
          </w:p>
        </w:tc>
      </w:tr>
      <w:tr>
        <w:trPr>
          <w:trHeight w:val="569" w:hRule="auto"/>
        </w:trPr>
        body 2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Rayon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0.318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0.328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0.328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0.322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0.337</w:t>
            </w:r>
          </w:p>
        </w:tc>
      </w:tr>
      <w:tr>
        <w:trPr>
          <w:trHeight w:val="574" w:hRule="auto"/>
        </w:trPr>
        body 3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Old rayon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0.376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0.381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0.382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0.372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0.392</w:t>
            </w:r>
          </w:p>
        </w:tc>
      </w:tr>
      <w:tr>
        <w:trPr>
          <w:trHeight w:val="574" w:hRule="auto"/>
        </w:trPr>
        body 4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Community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0.410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0.416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0.417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0.407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0.427</w:t>
            </w:r>
          </w:p>
        </w:tc>
      </w:tr>
      <w:tr>
        <w:trPr>
          <w:trHeight w:val="574" w:hRule="auto"/>
        </w:trPr>
        body 5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Village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0.506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0.509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0.511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0.493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0.513</w:t>
            </w:r>
          </w:p>
        </w:tc>
      </w:tr>
      <w:tr>
        <w:trPr>
          <w:trHeight w:val="538" w:hRule="auto"/>
        </w:trPr>
        body 6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Cad. zone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0.527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0.531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0.531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0.514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0.534</w:t>
            </w:r>
          </w:p>
        </w:tc>
      </w:tr>
      <w:tr>
        <w:trPr>
          <w:trHeight w:val="538" w:hRule="auto"/>
        </w:trPr>
        body 7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Cad. block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0.544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0.551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0.547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0.525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0.550</w:t>
            </w:r>
          </w:p>
        </w:tc>
      </w:tr>
      <w:tr>
        <w:trPr>
          <w:trHeight w:val="538" w:hRule="auto"/>
        </w:trPr>
        body 8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Ensamble 5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0.523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0.528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0.532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0.511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0.537</w:t>
            </w:r>
          </w:p>
        </w:tc>
      </w:tr>
      <w:tr>
        <w:trPr>
          <w:trHeight w:val="538" w:hRule="auto"/>
        </w:trPr>
        body 9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Ensamble 10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0.508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0.513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0.515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0.497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0.520</w:t>
            </w:r>
          </w:p>
        </w:tc>
      </w:tr>
      <w:tr>
        <w:trPr>
          <w:trHeight w:val="538" w:hRule="auto"/>
        </w:trPr>
        body10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Ensamble 40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0.438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0.441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0.442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0.428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0.452</w:t>
            </w:r>
          </w:p>
        </w:tc>
      </w:tr>
      <w:tr>
        <w:trPr>
          <w:trHeight w:val="569" w:hRule="auto"/>
        </w:trPr>
        body11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Reg. averages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0.446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0.447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0.453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0.434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0.458</w:t>
            </w:r>
          </w:p>
        </w:tc>
      </w:tr>
    </w:tbl>
    <w:p>
      <w:pPr>
        <w:pStyle w:val="BodyText"/>
      </w:pPr>
      <w:r>
        <w:br/>
      </w:r>
    </w:p>
    <w:p>
      <w:pPr>
        <w:pStyle w:val="BodyText"/>
      </w:pPr>
      <w:r>
        <w:rPr>
          <w:b/>
          <w:bCs/>
        </w:rPr>
        <w:t xml:space="preserve">Table 5: Prediction table by region</w:t>
      </w:r>
    </w:p>
    <w:tbl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pic="http://schemas.openxmlformats.org/drawingml/2006/picture">
      <w:tblPr>
        <w:tblLayout w:type="fixed"/>
        <w:jc w:val="center"/>
        <w:tblLook w:firstRow="1" w:lastRow="0" w:firstColumn="0" w:lastColumn="0" w:noHBand="0" w:noVBand="1"/>
      </w:tblPr>
      <w:tblGrid>
        <w:gridCol w:w="1800"/>
        <w:gridCol w:w="1021"/>
        <w:gridCol w:w="899"/>
        <w:gridCol w:w="1039"/>
        <w:gridCol w:w="1021"/>
        <w:gridCol w:w="940"/>
        <w:gridCol w:w="1021"/>
        <w:gridCol w:w="1021"/>
        <w:gridCol w:w="1021"/>
      </w:tblGrid>
      <w:tr>
        <w:trPr>
          <w:trHeight w:val="574" w:hRule="auto"/>
          <w:tblHeader/>
        </w:trPr>
        header 1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  <w:t xml:space="preserve"> 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center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  <w:t xml:space="preserve">Total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center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  <w:t xml:space="preserve">Sample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center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  <w:t xml:space="preserve">Prediction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center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  <w:t xml:space="preserve">Center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center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  <w:t xml:space="preserve">East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center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  <w:t xml:space="preserve">North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center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  <w:t xml:space="preserve">South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center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  <w:t xml:space="preserve">West</w:t>
            </w:r>
          </w:p>
        </w:tc>
      </w:tr>
      <w:tr>
        <w:trPr>
          <w:trHeight w:val="574" w:hRule="auto"/>
        </w:trPr>
        body 1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No. of parcels 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7,619,873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171,236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7,448,637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2,746,940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740,713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1,394,287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1,154,939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1,582,994</w:t>
            </w:r>
          </w:p>
        </w:tc>
      </w:tr>
      <w:tr>
        <w:trPr>
          <w:trHeight w:val="562" w:hRule="auto"/>
        </w:trPr>
        body 2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  w. NMV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1,301,405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170,062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1,131,343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491,003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73,427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246,137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178,450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312,388</w:t>
            </w:r>
          </w:p>
        </w:tc>
      </w:tr>
      <w:tr>
        <w:trPr>
          <w:trHeight w:val="566" w:hRule="auto"/>
        </w:trPr>
        body 3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Area, 1000 ha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20,989.21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537.24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20,451.97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8,065.02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3,139.05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2,849.45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5,227.99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1,707.69</w:t>
            </w:r>
          </w:p>
        </w:tc>
      </w:tr>
      <w:tr>
        <w:trPr>
          <w:trHeight w:val="566" w:hRule="auto"/>
        </w:trPr>
        body 4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Plot size, ha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2.75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3.14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2.75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2.94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4.24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2.04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4.53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1.08</w:t>
            </w:r>
          </w:p>
        </w:tc>
      </w:tr>
      <w:tr>
        <w:trPr>
          <w:trHeight w:val="574" w:hRule="auto"/>
        </w:trPr>
        body 5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Actual price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1,066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1,066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1,122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1,025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1,065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876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1,379</w:t>
            </w:r>
          </w:p>
        </w:tc>
      </w:tr>
      <w:tr>
        <w:trPr>
          <w:trHeight w:val="574" w:hRule="auto"/>
        </w:trPr>
        body 6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Pred. price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994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1,041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993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1,093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909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907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873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1,201</w:t>
            </w:r>
          </w:p>
        </w:tc>
      </w:tr>
      <w:tr>
        <w:trPr>
          <w:trHeight w:val="574" w:hRule="auto"/>
        </w:trPr>
        body 7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Region avg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944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981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943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1,007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928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873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832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1,135</w:t>
            </w:r>
          </w:p>
        </w:tc>
      </w:tr>
      <w:tr>
        <w:trPr>
          <w:trHeight w:val="535" w:hRule="auto"/>
        </w:trPr>
        body 8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NMV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802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801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803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819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923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727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829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667</w:t>
            </w:r>
          </w:p>
        </w:tc>
      </w:tr>
      <w:tr>
        <w:trPr>
          <w:trHeight w:val="574" w:hRule="auto"/>
        </w:trPr>
        body 9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Reg. avg/NMV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17.6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22.4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17.5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22.9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0.6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20.2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0.4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70.2</w:t>
            </w:r>
          </w:p>
        </w:tc>
      </w:tr>
      <w:tr>
        <w:trPr>
          <w:trHeight w:val="538" w:hRule="auto"/>
        </w:trPr>
        body10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Pred/NMV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23.9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29.9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23.7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33.4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-1.5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24.8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5.3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80.2</w:t>
            </w:r>
          </w:p>
        </w:tc>
      </w:tr>
      <w:tr>
        <w:trPr>
          <w:trHeight w:val="538" w:hRule="auto"/>
        </w:trPr>
        body11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Actual/NMV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32.8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33.0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/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37.0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11.0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46.6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5.7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106.9</w:t>
            </w:r>
          </w:p>
        </w:tc>
      </w:tr>
    </w:tbl>
    <w:p>
      <w:r>
        <w:br w:type="page"/>
      </w:r>
    </w:p>
    <w:p>
      <w:pPr>
        <w:pStyle w:val="BodyText"/>
      </w:pPr>
      <w:r>
        <w:drawing>
          <wp:inline>
            <wp:extent cx="5943600" cy="3396342"/>
            <wp:effectExtent b="0" l="0" r="0" t="0"/>
            <wp:docPr descr="" title="" id="21" name="Picture"/>
            <a:graphic>
              <a:graphicData uri="http://schemas.openxmlformats.org/drawingml/2006/picture">
                <pic:pic>
                  <pic:nvPicPr>
                    <pic:cNvPr descr="output/paper-img/gof-model-restricted.png" id="22" name="Picture"/>
                    <pic:cNvPicPr>
                      <a:picLocks noChangeArrowheads="1"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9634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BodyText"/>
      </w:pPr>
      <w:r>
        <w:rPr>
          <w:b/>
          <w:bCs/>
        </w:rPr>
        <w:t xml:space="preserve">Figure 1. Actual vs. predicted prices by model</w:t>
      </w:r>
    </w:p>
    <w:p>
      <w:pPr>
        <w:pStyle w:val="BodyText"/>
      </w:pPr>
      <w:r>
        <w:br/>
      </w:r>
    </w:p>
    <w:p>
      <w:r>
        <w:br w:type="page"/>
      </w:r>
    </w:p>
    <w:p>
      <w:pPr>
        <w:pStyle w:val="BodyText"/>
      </w:pPr>
      <w:r>
        <w:rPr>
          <w:b/>
          <w:bCs/>
        </w:rPr>
        <w:t xml:space="preserve">Appendix figures and tables</w:t>
      </w:r>
    </w:p>
    <w:p>
      <w:pPr>
        <w:pStyle w:val="BodyText"/>
      </w:pPr>
      <w:r>
        <w:br/>
      </w:r>
    </w:p>
    <w:p>
      <w:pPr>
        <w:pStyle w:val="BodyText"/>
      </w:pPr>
      <w:r>
        <w:drawing>
          <wp:inline>
            <wp:extent cx="5943600" cy="3396342"/>
            <wp:effectExtent b="0" l="0" r="0" t="0"/>
            <wp:docPr descr="" title="" id="24" name="Picture"/>
            <a:graphic>
              <a:graphicData uri="http://schemas.openxmlformats.org/drawingml/2006/picture">
                <pic:pic>
                  <pic:nvPicPr>
                    <pic:cNvPr descr="output/paper-img/plots-size-price.png" id="25" name="Picture"/>
                    <pic:cNvPicPr>
                      <a:picLocks noChangeArrowheads="1"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9634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BodyText"/>
      </w:pPr>
      <w:r>
        <w:br/>
      </w:r>
    </w:p>
    <w:p>
      <w:pPr>
        <w:pStyle w:val="BodyText"/>
      </w:pPr>
      <w:r>
        <w:rPr>
          <w:b/>
          <w:bCs/>
        </w:rPr>
        <w:t xml:space="preserve">Figure A1. Parcel price per ha versus size relationship</w:t>
      </w:r>
    </w:p>
    <w:p>
      <w:pPr>
        <w:pStyle w:val="BodyText"/>
      </w:pPr>
      <w:r>
        <w:br/>
      </w:r>
    </w:p>
    <w:p>
      <w:pPr>
        <w:pStyle w:val="BodyText"/>
      </w:pPr>
      <w:r>
        <w:drawing>
          <wp:inline>
            <wp:extent cx="5943600" cy="3396342"/>
            <wp:effectExtent b="0" l="0" r="0" t="0"/>
            <wp:docPr descr="" title="" id="27" name="Picture"/>
            <a:graphic>
              <a:graphicData uri="http://schemas.openxmlformats.org/drawingml/2006/picture">
                <pic:pic>
                  <pic:nvPicPr>
                    <pic:cNvPr descr="output/paper-img/distribution-area-nmv-soil.png" id="28" name="Picture"/>
                    <pic:cNvPicPr>
                      <a:picLocks noChangeArrowheads="1"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9634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BodyText"/>
      </w:pPr>
      <w:r>
        <w:br/>
      </w:r>
    </w:p>
    <w:p>
      <w:pPr>
        <w:pStyle w:val="BodyText"/>
      </w:pPr>
      <w:r>
        <w:rPr>
          <w:b/>
          <w:bCs/>
        </w:rPr>
        <w:t xml:space="preserve">Figure A2. Plot area, NMV and soil characteristics distribution in regression and out-of-sample data</w:t>
      </w:r>
    </w:p>
    <w:p>
      <w:pPr>
        <w:pStyle w:val="BodyText"/>
      </w:pPr>
      <w:r>
        <w:br/>
      </w:r>
    </w:p>
    <w:p>
      <w:pPr>
        <w:pStyle w:val="BodyText"/>
      </w:pPr>
      <w:r>
        <w:drawing>
          <wp:inline>
            <wp:extent cx="5943600" cy="3396342"/>
            <wp:effectExtent b="0" l="0" r="0" t="0"/>
            <wp:docPr descr="" title="" id="30" name="Picture"/>
            <a:graphic>
              <a:graphicData uri="http://schemas.openxmlformats.org/drawingml/2006/picture">
                <pic:pic>
                  <pic:nvPicPr>
                    <pic:cNvPr descr="output/paper-img/distribution-distances.png" id="31" name="Picture"/>
                    <pic:cNvPicPr>
                      <a:picLocks noChangeArrowheads="1"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9634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BodyText"/>
      </w:pPr>
      <w:r>
        <w:br/>
      </w:r>
    </w:p>
    <w:p>
      <w:pPr>
        <w:pStyle w:val="BodyText"/>
      </w:pPr>
      <w:r>
        <w:rPr>
          <w:b/>
          <w:bCs/>
        </w:rPr>
        <w:t xml:space="preserve">Figure A3. Distances to infrastructure distribution in regression and out-of-sample data</w:t>
      </w:r>
    </w:p>
    <w:p>
      <w:pPr>
        <w:pStyle w:val="BodyText"/>
      </w:pPr>
      <w:r>
        <w:br/>
      </w:r>
    </w:p>
    <w:p>
      <w:pPr>
        <w:pStyle w:val="BodyText"/>
      </w:pPr>
      <w:r>
        <w:drawing>
          <wp:inline>
            <wp:extent cx="5943600" cy="3396342"/>
            <wp:effectExtent b="0" l="0" r="0" t="0"/>
            <wp:docPr descr="" title="" id="33" name="Picture"/>
            <a:graphic>
              <a:graphicData uri="http://schemas.openxmlformats.org/drawingml/2006/picture">
                <pic:pic>
                  <pic:nvPicPr>
                    <pic:cNvPr descr="output/paper-img/trans-freq-adm8_id.png" id="34" name="Picture"/>
                    <pic:cNvPicPr>
                      <a:picLocks noChangeArrowheads="1"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9634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BodyText"/>
      </w:pPr>
      <w:r>
        <w:br/>
      </w:r>
    </w:p>
    <w:p>
      <w:pPr>
        <w:pStyle w:val="BodyText"/>
      </w:pPr>
      <w:r>
        <w:rPr>
          <w:b/>
          <w:bCs/>
        </w:rPr>
        <w:t xml:space="preserve">Figure A4. Transactions frequency by cadastral kvartal</w:t>
      </w:r>
    </w:p>
    <w:p>
      <w:pPr>
        <w:pStyle w:val="BodyText"/>
      </w:pPr>
      <w:r>
        <w:br/>
      </w:r>
    </w:p>
    <w:p>
      <w:pPr>
        <w:pStyle w:val="BodyText"/>
      </w:pPr>
      <w:r>
        <w:drawing>
          <wp:inline>
            <wp:extent cx="5943600" cy="3396342"/>
            <wp:effectExtent b="0" l="0" r="0" t="0"/>
            <wp:docPr descr="" title="" id="36" name="Picture"/>
            <a:graphic>
              <a:graphicData uri="http://schemas.openxmlformats.org/drawingml/2006/picture">
                <pic:pic>
                  <pic:nvPicPr>
                    <pic:cNvPr descr="output/paper-img/trans-freq-adm7_id.png" id="37" name="Picture"/>
                    <pic:cNvPicPr>
                      <a:picLocks noChangeArrowheads="1"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9634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BodyText"/>
      </w:pPr>
      <w:r>
        <w:br/>
      </w:r>
    </w:p>
    <w:p>
      <w:pPr>
        <w:pStyle w:val="BodyText"/>
      </w:pPr>
      <w:r>
        <w:rPr>
          <w:b/>
          <w:bCs/>
        </w:rPr>
        <w:t xml:space="preserve">Figure A5. Transactions frequency by cadastral zone</w:t>
      </w:r>
    </w:p>
    <w:p>
      <w:pPr>
        <w:pStyle w:val="BodyText"/>
      </w:pPr>
      <w:r>
        <w:br/>
      </w:r>
    </w:p>
    <w:p>
      <w:pPr>
        <w:pStyle w:val="BodyText"/>
      </w:pPr>
      <w:r>
        <w:drawing>
          <wp:inline>
            <wp:extent cx="5943600" cy="3396342"/>
            <wp:effectExtent b="0" l="0" r="0" t="0"/>
            <wp:docPr descr="" title="" id="39" name="Picture"/>
            <a:graphic>
              <a:graphicData uri="http://schemas.openxmlformats.org/drawingml/2006/picture">
                <pic:pic>
                  <pic:nvPicPr>
                    <pic:cNvPr descr="output/paper-img/trans-freq-adm6_id.png" id="40" name="Picture"/>
                    <pic:cNvPicPr>
                      <a:picLocks noChangeArrowheads="1"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9634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BodyText"/>
      </w:pPr>
      <w:r>
        <w:br/>
      </w:r>
    </w:p>
    <w:p>
      <w:pPr>
        <w:pStyle w:val="BodyText"/>
      </w:pPr>
      <w:r>
        <w:rPr>
          <w:b/>
          <w:bCs/>
        </w:rPr>
        <w:t xml:space="preserve">Figure A6. Transactions frequency by village</w:t>
      </w:r>
    </w:p>
    <w:p>
      <w:pPr>
        <w:pStyle w:val="BodyText"/>
      </w:pPr>
      <w:r>
        <w:br/>
      </w:r>
    </w:p>
    <w:p>
      <w:pPr>
        <w:pStyle w:val="BodyText"/>
      </w:pPr>
      <w:r>
        <w:drawing>
          <wp:inline>
            <wp:extent cx="5943600" cy="3396342"/>
            <wp:effectExtent b="0" l="0" r="0" t="0"/>
            <wp:docPr descr="" title="" id="42" name="Picture"/>
            <a:graphic>
              <a:graphicData uri="http://schemas.openxmlformats.org/drawingml/2006/picture">
                <pic:pic>
                  <pic:nvPicPr>
                    <pic:cNvPr descr="output/paper-img/trans-freq-adm3_id.png" id="43" name="Picture"/>
                    <pic:cNvPicPr>
                      <a:picLocks noChangeArrowheads="1"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9634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BodyText"/>
      </w:pPr>
      <w:r>
        <w:br/>
      </w:r>
    </w:p>
    <w:p>
      <w:pPr>
        <w:pStyle w:val="BodyText"/>
      </w:pPr>
      <w:r>
        <w:rPr>
          <w:b/>
          <w:bCs/>
        </w:rPr>
        <w:t xml:space="preserve">Figure A7. Transactions frequency by hromada</w:t>
      </w:r>
    </w:p>
    <w:p>
      <w:pPr>
        <w:pStyle w:val="BodyText"/>
      </w:pPr>
      <w:r>
        <w:br/>
      </w:r>
    </w:p>
    <w:p>
      <w:pPr>
        <w:pStyle w:val="BodyText"/>
      </w:pPr>
      <w:r>
        <w:drawing>
          <wp:inline>
            <wp:extent cx="5943600" cy="3396342"/>
            <wp:effectExtent b="0" l="0" r="0" t="0"/>
            <wp:docPr descr="" title="" id="45" name="Picture"/>
            <a:graphic>
              <a:graphicData uri="http://schemas.openxmlformats.org/drawingml/2006/picture">
                <pic:pic>
                  <pic:nvPicPr>
                    <pic:cNvPr descr="output/paper-img/trans-freq-adm2old_id.png" id="46" name="Picture"/>
                    <pic:cNvPicPr>
                      <a:picLocks noChangeArrowheads="1"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9634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BodyText"/>
      </w:pPr>
      <w:r>
        <w:br/>
      </w:r>
    </w:p>
    <w:p>
      <w:pPr>
        <w:pStyle w:val="BodyText"/>
      </w:pPr>
      <w:r>
        <w:rPr>
          <w:b/>
          <w:bCs/>
        </w:rPr>
        <w:t xml:space="preserve">Figure A8. Transactions frequency by old rayon</w:t>
      </w:r>
    </w:p>
    <w:p>
      <w:pPr>
        <w:pStyle w:val="BodyText"/>
      </w:pPr>
      <w:r>
        <w:br/>
      </w:r>
    </w:p>
    <w:p>
      <w:pPr>
        <w:pStyle w:val="BodyText"/>
      </w:pPr>
      <w:r>
        <w:drawing>
          <wp:inline>
            <wp:extent cx="5943600" cy="3396342"/>
            <wp:effectExtent b="0" l="0" r="0" t="0"/>
            <wp:docPr descr="" title="" id="48" name="Picture"/>
            <a:graphic>
              <a:graphicData uri="http://schemas.openxmlformats.org/drawingml/2006/picture">
                <pic:pic>
                  <pic:nvPicPr>
                    <pic:cNvPr descr="output/paper-img/trans-freq-adm2_id.png" id="49" name="Picture"/>
                    <pic:cNvPicPr>
                      <a:picLocks noChangeArrowheads="1"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9634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BodyText"/>
      </w:pPr>
      <w:r>
        <w:br/>
      </w:r>
    </w:p>
    <w:p>
      <w:pPr>
        <w:pStyle w:val="BodyText"/>
      </w:pPr>
      <w:r>
        <w:rPr>
          <w:b/>
          <w:bCs/>
        </w:rPr>
        <w:t xml:space="preserve">Figure A9. Transactions frequency by rayon</w:t>
      </w:r>
    </w:p>
    <w:p>
      <w:pPr>
        <w:pStyle w:val="BodyText"/>
      </w:pPr>
      <w:r>
        <w:br/>
      </w:r>
    </w:p>
    <w:p>
      <w:pPr>
        <w:pStyle w:val="BodyText"/>
      </w:pPr>
      <w:r>
        <w:drawing>
          <wp:inline>
            <wp:extent cx="5943600" cy="3396342"/>
            <wp:effectExtent b="0" l="0" r="0" t="0"/>
            <wp:docPr descr="" title="" id="51" name="Picture"/>
            <a:graphic>
              <a:graphicData uri="http://schemas.openxmlformats.org/drawingml/2006/picture">
                <pic:pic>
                  <pic:nvPicPr>
                    <pic:cNvPr descr="output/paper-img/nmv-freq-hromada.png" id="52" name="Picture"/>
                    <pic:cNvPicPr>
                      <a:picLocks noChangeArrowheads="1"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9634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BodyText"/>
      </w:pPr>
      <w:r>
        <w:br/>
      </w:r>
    </w:p>
    <w:p>
      <w:pPr>
        <w:pStyle w:val="BodyText"/>
      </w:pPr>
      <w:r>
        <w:rPr>
          <w:b/>
          <w:bCs/>
        </w:rPr>
        <w:t xml:space="preserve">Figure A10. Frequency of NMV observations by hromada</w:t>
      </w:r>
    </w:p>
    <w:p>
      <w:pPr>
        <w:pStyle w:val="BodyText"/>
      </w:pPr>
      <w:r>
        <w:br/>
      </w:r>
    </w:p>
    <w:p>
      <w:r>
        <w:br w:type="page"/>
      </w:r>
    </w:p>
    <w:p>
      <w:pPr>
        <w:pStyle w:val="BodyText"/>
      </w:pPr>
      <w:r>
        <w:rPr>
          <w:b/>
          <w:bCs/>
        </w:rPr>
        <w:t xml:space="preserve">Appendix table A1: Sizes and prices outliers in regression data and by cross validation split</w:t>
      </w:r>
    </w:p>
    <w:tbl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pic="http://schemas.openxmlformats.org/drawingml/2006/picture">
      <w:tblPr>
        <w:tblLayout w:type="fixed"/>
        <w:jc w:val="center"/>
        <w:tblLook w:firstRow="1" w:lastRow="0" w:firstColumn="0" w:lastColumn="0" w:noHBand="0" w:noVBand="1"/>
      </w:tblPr>
      <w:tblGrid>
        <w:gridCol w:w="1111"/>
        <w:gridCol w:w="1359"/>
        <w:gridCol w:w="1359"/>
        <w:gridCol w:w="1359"/>
        <w:gridCol w:w="1359"/>
        <w:gridCol w:w="1359"/>
        <w:gridCol w:w="1452"/>
      </w:tblGrid>
      <w:tr>
        <w:trPr>
          <w:trHeight w:val="574" w:hRule="auto"/>
          <w:tblHeader/>
        </w:trPr>
        header 1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  <w:t xml:space="preserve">  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center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  <w:t xml:space="preserve">Fold1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center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  <w:t xml:space="preserve">Fold2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center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  <w:t xml:space="preserve">Fold3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center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  <w:t xml:space="preserve">Fold4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center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  <w:t xml:space="preserve">Fold5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center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  <w:t xml:space="preserve">Full sample</w:t>
            </w:r>
          </w:p>
        </w:tc>
      </w:tr>
      <w:tr>
        <w:trPr>
          <w:trHeight w:val="571" w:hRule="auto"/>
        </w:trPr>
        body 1
        <w:tc>
          <w:tcPr>
            <w:gridSpan w:val="7"/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  <w:t xml:space="preserve">Actual price (winsorized) 2024 USD/ha</w:t>
            </w:r>
          </w:p>
        </w:tc>
      </w:tr>
      <w:tr>
        <w:trPr>
          <w:trHeight w:val="536" w:hRule="auto"/>
        </w:trPr>
        body 2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Min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109.89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109.89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109.89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109.89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109.89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109.89</w:t>
            </w:r>
          </w:p>
        </w:tc>
      </w:tr>
      <w:tr>
        <w:trPr>
          <w:trHeight w:val="568" w:hRule="auto"/>
        </w:trPr>
        body 3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Q1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111.78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109.89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109.89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117.69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110.83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111.73</w:t>
            </w:r>
          </w:p>
        </w:tc>
      </w:tr>
      <w:tr>
        <w:trPr>
          <w:trHeight w:val="568" w:hRule="auto"/>
        </w:trPr>
        body 4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Q5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245.26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244.14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244.86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252.63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242.84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246.14</w:t>
            </w:r>
          </w:p>
        </w:tc>
      </w:tr>
      <w:tr>
        <w:trPr>
          <w:trHeight w:val="538" w:hRule="auto"/>
        </w:trPr>
        body 5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Median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912.27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914.14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915.34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919.02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914.65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914.94</w:t>
            </w:r>
          </w:p>
        </w:tc>
      </w:tr>
      <w:tr>
        <w:trPr>
          <w:trHeight w:val="568" w:hRule="auto"/>
        </w:trPr>
        body 6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Q99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5100.16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5308.69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5228.31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5297.77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5293.28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5281.99</w:t>
            </w:r>
          </w:p>
        </w:tc>
      </w:tr>
      <w:tr>
        <w:trPr>
          <w:trHeight w:val="535" w:hRule="auto"/>
        </w:trPr>
        body 7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Max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5332.58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5332.58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5332.58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5332.58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5332.58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5332.58</w:t>
            </w:r>
          </w:p>
        </w:tc>
      </w:tr>
      <w:tr>
        <w:trPr>
          <w:trHeight w:val="571" w:hRule="auto"/>
        </w:trPr>
        body 8
        <w:tc>
          <w:tcPr>
            <w:gridSpan w:val="7"/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  <w:t xml:space="preserve">Actual price 2024 USD/ha</w:t>
            </w:r>
          </w:p>
        </w:tc>
      </w:tr>
      <w:tr>
        <w:trPr>
          <w:trHeight w:val="536" w:hRule="auto"/>
        </w:trPr>
        body 9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Min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0.42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0.75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0.01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0.00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7.85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0.00</w:t>
            </w:r>
          </w:p>
        </w:tc>
      </w:tr>
      <w:tr>
        <w:trPr>
          <w:trHeight w:val="568" w:hRule="auto"/>
        </w:trPr>
        body10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Q1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111.78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109.44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108.47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117.69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110.83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111.73</w:t>
            </w:r>
          </w:p>
        </w:tc>
      </w:tr>
      <w:tr>
        <w:trPr>
          <w:trHeight w:val="568" w:hRule="auto"/>
        </w:trPr>
        body11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Q5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245.26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244.14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244.86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252.63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242.84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246.14</w:t>
            </w:r>
          </w:p>
        </w:tc>
      </w:tr>
      <w:tr>
        <w:trPr>
          <w:trHeight w:val="538" w:hRule="auto"/>
        </w:trPr>
        body12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Median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912.27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914.14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915.34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919.02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914.65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914.94</w:t>
            </w:r>
          </w:p>
        </w:tc>
      </w:tr>
      <w:tr>
        <w:trPr>
          <w:trHeight w:val="568" w:hRule="auto"/>
        </w:trPr>
        body13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Q99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5100.16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5308.69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5228.31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5297.77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5293.28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5281.99</w:t>
            </w:r>
          </w:p>
        </w:tc>
      </w:tr>
      <w:tr>
        <w:trPr>
          <w:trHeight w:val="535" w:hRule="auto"/>
        </w:trPr>
        body14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Max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706084.72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814811.52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425830.51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438432.94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878804.17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878804.17</w:t>
            </w:r>
          </w:p>
        </w:tc>
      </w:tr>
      <w:tr>
        <w:trPr>
          <w:trHeight w:val="564" w:hRule="auto"/>
        </w:trPr>
        body15
        <w:tc>
          <w:tcPr>
            <w:gridSpan w:val="7"/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  <w:t xml:space="preserve">Area, ha</w:t>
            </w:r>
          </w:p>
        </w:tc>
      </w:tr>
      <w:tr>
        <w:trPr>
          <w:trHeight w:val="536" w:hRule="auto"/>
        </w:trPr>
        body16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Min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0.00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0.00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0.00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0.00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0.00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0.00</w:t>
            </w:r>
          </w:p>
        </w:tc>
      </w:tr>
      <w:tr>
        <w:trPr>
          <w:trHeight w:val="568" w:hRule="auto"/>
        </w:trPr>
        body17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Q1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0.11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0.11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0.11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0.11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0.11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0.11</w:t>
            </w:r>
          </w:p>
        </w:tc>
      </w:tr>
      <w:tr>
        <w:trPr>
          <w:trHeight w:val="568" w:hRule="auto"/>
        </w:trPr>
        body18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Q5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0.33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0.33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0.33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0.34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0.34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0.33</w:t>
            </w:r>
          </w:p>
        </w:tc>
      </w:tr>
      <w:tr>
        <w:trPr>
          <w:trHeight w:val="538" w:hRule="auto"/>
        </w:trPr>
        body19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Median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2.72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2.71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2.72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2.72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2.71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2.72</w:t>
            </w:r>
          </w:p>
        </w:tc>
      </w:tr>
      <w:tr>
        <w:trPr>
          <w:trHeight w:val="568" w:hRule="auto"/>
        </w:trPr>
        body20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Q99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10.05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10.18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10.23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10.16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10.09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10.15</w:t>
            </w:r>
          </w:p>
        </w:tc>
      </w:tr>
      <w:tr>
        <w:trPr>
          <w:trHeight w:val="535" w:hRule="auto"/>
        </w:trPr>
        body21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Max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129.05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374.60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223.16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104.86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147.98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374.60</w:t>
            </w:r>
          </w:p>
        </w:tc>
      </w:tr>
    </w:tbl>
    <w:p>
      <w:r>
        <w:br w:type="page"/>
      </w:r>
    </w:p>
    <w:p>
      <w:pPr>
        <w:pStyle w:val="BodyText"/>
      </w:pPr>
      <w:r>
        <w:rPr>
          <w:b/>
          <w:bCs/>
        </w:rPr>
        <w:t xml:space="preserve">Appendix table A2: Covariates contribution to variance explained in percent</w:t>
      </w:r>
    </w:p>
    <w:tbl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pic="http://schemas.openxmlformats.org/drawingml/2006/picture">
      <w:tblPr>
        <w:tblLayout w:type="fixed"/>
        <w:jc w:val="center"/>
        <w:tblLook w:firstRow="1" w:lastRow="0" w:firstColumn="0" w:lastColumn="0" w:noHBand="0" w:noVBand="1"/>
      </w:tblPr>
      <w:tblGrid>
        <w:gridCol w:w="2592"/>
        <w:gridCol w:w="954"/>
        <w:gridCol w:w="704"/>
        <w:gridCol w:w="680"/>
        <w:gridCol w:w="680"/>
        <w:gridCol w:w="877"/>
        <w:gridCol w:w="982"/>
        <w:gridCol w:w="727"/>
        <w:gridCol w:w="873"/>
        <w:gridCol w:w="920"/>
      </w:tblGrid>
      <w:tr>
        <w:trPr>
          <w:trHeight w:val="574" w:hRule="auto"/>
          <w:tblHeader/>
        </w:trPr>
        header 1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  <w:t xml:space="preserve">  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center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  <w:t xml:space="preserve">N variables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center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  <w:t xml:space="preserve">Pooled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center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  <w:t xml:space="preserve">Oblast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center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  <w:t xml:space="preserve">Rayon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center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  <w:t xml:space="preserve">Old rayon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center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  <w:t xml:space="preserve">Community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center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  <w:t xml:space="preserve">Village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center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  <w:t xml:space="preserve">Cad. zone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center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  <w:t xml:space="preserve">Cad. block</w:t>
            </w:r>
          </w:p>
        </w:tc>
      </w:tr>
      <w:tr>
        <w:trPr>
          <w:trHeight w:val="538" w:hRule="auto"/>
        </w:trPr>
        body 1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All variables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30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21.5%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18.8%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16.3%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15.1%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14.3%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12.5%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11.9%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10.8%</w:t>
            </w:r>
          </w:p>
        </w:tc>
      </w:tr>
      <w:tr>
        <w:trPr>
          <w:trHeight w:val="537" w:hRule="auto"/>
        </w:trPr>
        body 2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Area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1.2%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1.6%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1.7%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1.7%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1.5%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1.2%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1.0%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1.1%</w:t>
            </w:r>
          </w:p>
        </w:tc>
      </w:tr>
      <w:tr>
        <w:trPr>
          <w:trHeight w:val="574" w:hRule="auto"/>
        </w:trPr>
        body 3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War dummy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0.0%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0.2%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0.2%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0.2%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0.2%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0.3%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0.3%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0.3%</w:t>
            </w:r>
          </w:p>
        </w:tc>
      </w:tr>
      <w:tr>
        <w:trPr>
          <w:trHeight w:val="574" w:hRule="auto"/>
        </w:trPr>
        body 4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Year dummy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0.0%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0.0%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0.0%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0.0%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0.0%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0.0%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0.0%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0.0%</w:t>
            </w:r>
          </w:p>
        </w:tc>
      </w:tr>
      <w:tr>
        <w:trPr>
          <w:trHeight w:val="574" w:hRule="auto"/>
        </w:trPr>
        body 5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Missing/below NMV dummy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5.6%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6.1%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6.3%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6.0%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6.3%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5.5%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5.6%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5.4%</w:t>
            </w:r>
          </w:p>
        </w:tc>
      </w:tr>
      <w:tr>
        <w:trPr>
          <w:trHeight w:val="538" w:hRule="auto"/>
        </w:trPr>
        body 6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Transaction details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0.1%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0.2%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0.2%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0.2%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0.1%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0.1%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0.1%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0.1%</w:t>
            </w:r>
          </w:p>
        </w:tc>
      </w:tr>
      <w:tr>
        <w:trPr>
          <w:trHeight w:val="574" w:hRule="auto"/>
        </w:trPr>
        body 7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Settlements proximity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0.3%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0.3%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0.4%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0.2%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0.1%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0.1%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0.0%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0.0%</w:t>
            </w:r>
          </w:p>
        </w:tc>
      </w:tr>
      <w:tr>
        <w:trPr>
          <w:trHeight w:val="574" w:hRule="auto"/>
        </w:trPr>
        body 8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Roads and storage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7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1.2%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0.6%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0.4%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0.3%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0.2%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0.3%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0.2%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0.1%</w:t>
            </w:r>
          </w:p>
        </w:tc>
      </w:tr>
      <w:tr>
        <w:trPr>
          <w:trHeight w:val="574" w:hRule="auto"/>
        </w:trPr>
        body 9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Land use, lag 1 year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4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2.5%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1.7%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1.7%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1.6%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1.5%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1.4%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1.2%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0.9%</w:t>
            </w:r>
          </w:p>
        </w:tc>
      </w:tr>
      <w:tr>
        <w:trPr>
          <w:trHeight w:val="538" w:hRule="auto"/>
        </w:trPr>
        body10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Soil features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7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4.6%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3.2%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2.0%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1.6%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1.2%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1.1%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0.9%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0.6%</w:t>
            </w:r>
          </w:p>
        </w:tc>
      </w:tr>
    </w:tbl>
    <w:p>
      <w:r>
        <w:br w:type="page"/>
      </w:r>
    </w:p>
    <w:p>
      <w:pPr>
        <w:pStyle w:val="BodyText"/>
      </w:pPr>
      <w:r>
        <w:rPr>
          <w:b/>
          <w:bCs/>
        </w:rPr>
        <w:t xml:space="preserve">Appendix table A3: Frequencies of the FE used by region in out-of-sample prediction</w:t>
      </w:r>
    </w:p>
    <w:tbl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pic="http://schemas.openxmlformats.org/drawingml/2006/picture">
      <w:tblPr>
        <w:tblLayout w:type="fixed"/>
        <w:jc w:val="center"/>
        <w:tblLook w:firstRow="1" w:lastRow="0" w:firstColumn="0" w:lastColumn="0" w:noHBand="0" w:noVBand="1"/>
      </w:tblPr>
      <w:tblGrid>
        <w:gridCol w:w="1113"/>
        <w:gridCol w:w="1049"/>
        <w:gridCol w:w="1104"/>
        <w:gridCol w:w="1049"/>
        <w:gridCol w:w="1179"/>
        <w:gridCol w:w="1049"/>
        <w:gridCol w:w="1053"/>
        <w:gridCol w:w="924"/>
        <w:gridCol w:w="840"/>
      </w:tblGrid>
      <w:tr>
        <w:trPr>
          <w:trHeight w:val="574" w:hRule="auto"/>
          <w:tblHeader/>
        </w:trPr>
        header1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  <w:t xml:space="preserve">Region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center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  <w:t xml:space="preserve">Total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center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  <w:t xml:space="preserve">Cad. block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center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  <w:t xml:space="preserve">Cad. zone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center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  <w:t xml:space="preserve">Community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center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  <w:t xml:space="preserve">Village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center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  <w:t xml:space="preserve">Old rayon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center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  <w:t xml:space="preserve">Rayon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center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true"/>
                <w:u w:val="none"/>
                <w:sz w:val="18"/>
                <w:szCs w:val="18"/>
                <w:color w:val="000000"/>
              </w:rPr>
              <w:t xml:space="preserve">Oblast</w:t>
            </w:r>
          </w:p>
        </w:tc>
      </w:tr>
      <w:tr>
        <w:trPr>
          <w:trHeight w:val="562" w:hRule="auto"/>
        </w:trPr>
        body1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Center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2,664,807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785,649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705,679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618,335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484,531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56,100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14,513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</w:t>
            </w:r>
          </w:p>
        </w:tc>
      </w:tr>
      <w:tr>
        <w:trPr>
          <w:trHeight w:val="562" w:hRule="auto"/>
        </w:trPr>
        body2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East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730,452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96,780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23,220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293,970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158,136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91,267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45,822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21,257</w:t>
            </w:r>
          </w:p>
        </w:tc>
      </w:tr>
      <w:tr>
        <w:trPr>
          <w:trHeight w:val="562" w:hRule="auto"/>
        </w:trPr>
        body3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North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1,355,948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317,615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335,137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343,133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331,968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10,457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17,638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</w:t>
            </w:r>
          </w:p>
        </w:tc>
      </w:tr>
      <w:tr>
        <w:trPr>
          <w:trHeight w:val="562" w:hRule="auto"/>
        </w:trPr>
        body4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South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1,132,229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295,911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106,980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473,511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167,701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71,770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16,356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</w:t>
            </w:r>
          </w:p>
        </w:tc>
      </w:tr>
      <w:tr>
        <w:trPr>
          <w:trHeight w:val="562" w:hRule="auto"/>
        </w:trPr>
        body5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West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1,565,201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151,624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113,964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918,466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221,800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133,967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18,063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7,317</w:t>
            </w:r>
          </w:p>
        </w:tc>
      </w:tr>
      <w:tr>
        <w:trPr>
          <w:trHeight w:val="571" w:hRule="auto"/>
        </w:trPr>
        body6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Country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7,448,637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1,647,579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1,284,980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2,647,415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1,364,136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363,561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112,392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28,574</w:t>
            </w:r>
          </w:p>
        </w:tc>
      </w:tr>
      <w:tr>
        <w:trPr>
          <w:trHeight w:val="569" w:hRule="auto"/>
        </w:trPr>
        body7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Percentage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/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22.1%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17.3%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35.5%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18.3%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4.9%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1.5%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Times New Roman" w:hAnsi="Times New Roman" w:eastAsia="Times New Roman" w:cs="Times New Roman"/>
                <w:i w:val="false"/>
                <w:b w:val="false"/>
                <w:u w:val="none"/>
                <w:sz w:val="18"/>
                <w:szCs w:val="18"/>
                <w:color w:val="000000"/>
              </w:rPr>
              <w:t xml:space="preserve">0.4%</w:t>
            </w:r>
          </w:p>
        </w:tc>
      </w:tr>
    </w:tbl>
    <w:sectPr w:rsidR="00D061C3" w:rsidRPr="00A666BF">
      <w:pgSz w:h="15840" w:w="12240"/>
      <w:pgMar w:bottom="1440" w:footer="720" w:gutter="0" w:header="720" w:left="1440" w:right="1440" w:top="1440"/>
      <w:cols w:space="72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oel="http://schemas.microsoft.com/office/2019/extlst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du="http://schemas.microsoft.com/office/word/2023/wordml/word16du" xmlns:w16sdtdh="http://schemas.microsoft.com/office/word/2020/wordml/sdtdatahash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16du wp14">
  <w:abstractNum w15:restartNumberingAfterBreak="0" w:abstractNumId="0">
    <w:nsid w:val="0000A990"/>
    <w:multiLevelType w:val="multilevel"/>
    <w:tmpl w:val="B7F00884"/>
    <w:lvl w:ilvl="0">
      <w:numFmt w:val="bullet"/>
      <w:lvlText w:val=" "/>
      <w:lvlJc w:val="left"/>
      <w:pPr>
        <w:ind w:hanging="360" w:left="720"/>
      </w:pPr>
    </w:lvl>
    <w:lvl w:ilvl="1">
      <w:numFmt w:val="bullet"/>
      <w:lvlText w:val=" "/>
      <w:lvlJc w:val="left"/>
      <w:pPr>
        <w:ind w:hanging="360" w:left="1440"/>
      </w:pPr>
    </w:lvl>
    <w:lvl w:ilvl="2">
      <w:numFmt w:val="bullet"/>
      <w:lvlText w:val=" "/>
      <w:lvlJc w:val="left"/>
      <w:pPr>
        <w:ind w:hanging="360" w:left="2160"/>
      </w:pPr>
    </w:lvl>
    <w:lvl w:ilvl="3">
      <w:numFmt w:val="bullet"/>
      <w:lvlText w:val=" "/>
      <w:lvlJc w:val="left"/>
      <w:pPr>
        <w:ind w:hanging="360" w:left="2880"/>
      </w:pPr>
    </w:lvl>
    <w:lvl w:ilvl="4">
      <w:numFmt w:val="bullet"/>
      <w:lvlText w:val=" "/>
      <w:lvlJc w:val="left"/>
      <w:pPr>
        <w:ind w:hanging="360" w:left="3600"/>
      </w:pPr>
    </w:lvl>
    <w:lvl w:ilvl="5">
      <w:numFmt w:val="bullet"/>
      <w:lvlText w:val=" "/>
      <w:lvlJc w:val="left"/>
      <w:pPr>
        <w:ind w:hanging="360" w:left="4320"/>
      </w:pPr>
    </w:lvl>
    <w:lvl w:ilvl="6">
      <w:numFmt w:val="bullet"/>
      <w:lvlText w:val=" "/>
      <w:lvlJc w:val="left"/>
      <w:pPr>
        <w:ind w:hanging="360" w:left="5040"/>
      </w:pPr>
    </w:lvl>
    <w:lvl w:ilvl="7">
      <w:numFmt w:val="bullet"/>
      <w:lvlText w:val=" "/>
      <w:lvlJc w:val="left"/>
      <w:pPr>
        <w:ind w:hanging="360" w:left="5760"/>
      </w:pPr>
    </w:lvl>
    <w:lvl w:ilvl="8">
      <w:numFmt w:val="bullet"/>
      <w:lvlText w:val=" "/>
      <w:lvlJc w:val="left"/>
      <w:pPr>
        <w:ind w:hanging="360" w:left="6480"/>
      </w:pPr>
    </w:lvl>
  </w:abstractNum>
  <w:abstractNum w:abstractNumId="990">
    <w:nsid w:val="0000A990"/>
    <w:multiLevelType w:val="multilevel"/>
    <w:lvl w:ilvl="0">
      <w:numFmt w:val="bullet"/>
      <w:lvlText w:val=" "/>
      <w:lvlJc w:val="left"/>
      <w:pPr>
        <w:ind w:left="720" w:hanging="360"/>
      </w:pPr>
    </w:lvl>
    <w:lvl w:ilvl="1">
      <w:numFmt w:val="bullet"/>
      <w:lvlText w:val=" "/>
      <w:lvlJc w:val="left"/>
      <w:pPr>
        <w:ind w:left="1440" w:hanging="360"/>
      </w:pPr>
    </w:lvl>
    <w:lvl w:ilvl="2">
      <w:numFmt w:val="bullet"/>
      <w:lvlText w:val=" "/>
      <w:lvlJc w:val="left"/>
      <w:pPr>
        <w:ind w:left="2160" w:hanging="360"/>
      </w:pPr>
    </w:lvl>
    <w:lvl w:ilvl="3">
      <w:numFmt w:val="bullet"/>
      <w:lvlText w:val=" "/>
      <w:lvlJc w:val="left"/>
      <w:pPr>
        <w:ind w:left="2880" w:hanging="360"/>
      </w:pPr>
    </w:lvl>
    <w:lvl w:ilvl="4">
      <w:numFmt w:val="bullet"/>
      <w:lvlText w:val=" "/>
      <w:lvlJc w:val="left"/>
      <w:pPr>
        <w:ind w:left="3600" w:hanging="360"/>
      </w:pPr>
    </w:lvl>
    <w:lvl w:ilvl="5">
      <w:numFmt w:val="bullet"/>
      <w:lvlText w:val=" "/>
      <w:lvlJc w:val="left"/>
      <w:pPr>
        <w:ind w:left="4320" w:hanging="360"/>
      </w:pPr>
    </w:lvl>
    <w:lvl w:ilvl="6">
      <w:numFmt w:val="bullet"/>
      <w:lvlText w:val=" "/>
      <w:lvlJc w:val="left"/>
      <w:pPr>
        <w:ind w:left="5040" w:hanging="360"/>
      </w:pPr>
    </w:lvl>
    <w:lvl w:ilvl="7">
      <w:numFmt w:val="bullet"/>
      <w:lvlText w:val=" "/>
      <w:lvlJc w:val="left"/>
      <w:pPr>
        <w:ind w:left="5760" w:hanging="360"/>
      </w:pPr>
    </w:lvl>
    <w:lvl w:ilvl="8">
      <w:numFmt w:val="bullet"/>
      <w:lvlText w:val=" "/>
      <w:lvlJc w:val="left"/>
      <w:pPr>
        <w:ind w:left="6480" w:hanging="360"/>
      </w:pPr>
    </w:lvl>
  </w:abstractNum>
  <w:num w16cid:durableId="1450930032" w:numId="1">
    <w:abstractNumId w:val="0"/>
  </w:num>
  <w:num w16cid:durableId="209417444" w:numId="2">
    <w:abstractNumId w:val="0"/>
  </w:num>
  <w:num w:numId="1000">
    <w:abstractNumId w:val="990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zoom w:percent="110"/>
  <w:embedSystemFonts/>
  <w:proofState w:grammar="clean" w:spelling="clean"/>
  <w:stylePaneFormatFilter w:allStyles="0" w:alternateStyleNames="0" w:clearFormatting="0" w:customStyles="0" w:directFormattingOnNumbering="0" w:directFormattingOnParagraphs="0" w:directFormattingOnRuns="0" w:directFormattingOnTables="0" w:headingStyles="0" w:latentStyles="1" w:numberingStyles="0" w:stylesInUse="0" w:tableStyles="0" w:top3HeadingStyles="0" w:val="0004" w:visibleStyles="0"/>
  <w:doNotTrackMove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D5D06"/>
    <w:rsid w:val="00050224"/>
    <w:rsid w:val="00360170"/>
    <w:rsid w:val="005F1253"/>
    <w:rsid w:val="00944FE7"/>
    <w:rsid w:val="0094649F"/>
    <w:rsid w:val="00A666BF"/>
    <w:rsid w:val="00BF6A98"/>
    <w:rsid w:val="00D061C3"/>
    <w:rsid w:val="00FD5D06"/>
  </w:rsids>
  <w:themeFontLang w:val="en-US"/>
  <w:clrSchemeMapping w:accent1="accent1" w:accent2="accent2" w:accent3="accent3" w:accent4="accent4" w:accent5="accent5" w:accent6="accent6" w:bg1="light1" w:bg2="light2" w:followedHyperlink="followedHyperlink" w:hyperlink="hyperlink" w:t1="dark1" w:t2="dark2"/>
  <w:shapeDefaults>
    <o:shapedefaults spidmax="1026" v:ext="edit"/>
    <o:shapelayout v:ext="edit">
      <o:idmap data="1" v:ext="edit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cstheme="minorBidi" w:eastAsiaTheme="minorHAnsi" w:hAnsiTheme="minorHAnsi"/>
        <w:sz w:val="24"/>
        <w:szCs w:val="24"/>
        <w:lang w:bidi="ar-SA" w:eastAsia="en-US" w:val="en-US"/>
      </w:rPr>
    </w:rPrDefault>
    <w:pPrDefault>
      <w:pPr>
        <w:spacing w:after="200"/>
      </w:pPr>
    </w:pPrDefault>
  </w:docDefaults>
  <w:latentStyles w:count="376" w:defLockedState="0" w:defQFormat="0" w:defSemiHidden="0" w:defUIPriority="0" w:defUnhideWhenUsed="0"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default="1" w:styleId="Normal" w:type="paragraph">
    <w:name w:val="Normal"/>
    <w:qFormat/>
    <w:rsid w:val="005F1253"/>
    <w:pPr>
      <w:spacing w:after="0"/>
      <w:contextualSpacing/>
    </w:pPr>
    <w:rPr>
      <w:rFonts w:ascii="Times New Roman" w:hAnsi="Times New Roman"/>
      <w:sz w:val="18"/>
    </w:rPr>
  </w:style>
  <w:style w:styleId="Heading1" w:type="paragraph">
    <w:name w:val="heading 1"/>
    <w:basedOn w:val="Normal"/>
    <w:next w:val="BodyText"/>
    <w:link w:val="Heading1Char"/>
    <w:uiPriority w:val="9"/>
    <w:qFormat/>
    <w:rsid w:val="00A10FD9"/>
    <w:pPr>
      <w:keepNext/>
      <w:keepLines/>
      <w:spacing w:after="80" w:before="360"/>
      <w:outlineLvl w:val="0"/>
    </w:pPr>
    <w:rPr>
      <w:rFonts w:asciiTheme="majorHAnsi" w:cstheme="majorBidi" w:eastAsiaTheme="majorEastAsia" w:hAnsiTheme="majorHAnsi"/>
      <w:color w:themeColor="accent1" w:themeShade="BF" w:val="0F4761"/>
      <w:sz w:val="40"/>
      <w:szCs w:val="40"/>
    </w:rPr>
  </w:style>
  <w:style w:styleId="Heading2" w:type="paragraph">
    <w:name w:val="heading 2"/>
    <w:basedOn w:val="Normal"/>
    <w:next w:val="BodyText"/>
    <w:link w:val="Heading2Char"/>
    <w:uiPriority w:val="9"/>
    <w:semiHidden/>
    <w:unhideWhenUsed/>
    <w:qFormat/>
    <w:rsid w:val="00A10FD9"/>
    <w:pPr>
      <w:keepNext/>
      <w:keepLines/>
      <w:spacing w:after="80" w:before="160"/>
      <w:outlineLvl w:val="1"/>
    </w:pPr>
    <w:rPr>
      <w:rFonts w:asciiTheme="majorHAnsi" w:cstheme="majorBidi" w:eastAsiaTheme="majorEastAsia" w:hAnsiTheme="majorHAnsi"/>
      <w:color w:themeColor="accent1" w:themeShade="BF" w:val="0F4761"/>
      <w:sz w:val="32"/>
      <w:szCs w:val="32"/>
    </w:rPr>
  </w:style>
  <w:style w:styleId="Heading3" w:type="paragraph">
    <w:name w:val="heading 3"/>
    <w:basedOn w:val="Normal"/>
    <w:next w:val="BodyText"/>
    <w:link w:val="Heading3Char"/>
    <w:uiPriority w:val="9"/>
    <w:semiHidden/>
    <w:unhideWhenUsed/>
    <w:qFormat/>
    <w:rsid w:val="00A10FD9"/>
    <w:pPr>
      <w:keepNext/>
      <w:keepLines/>
      <w:spacing w:after="80" w:before="160"/>
      <w:outlineLvl w:val="2"/>
    </w:pPr>
    <w:rPr>
      <w:rFonts w:cstheme="majorBidi" w:eastAsiaTheme="majorEastAsia"/>
      <w:color w:themeColor="accent1" w:themeShade="BF" w:val="0F4761"/>
      <w:sz w:val="28"/>
      <w:szCs w:val="28"/>
    </w:rPr>
  </w:style>
  <w:style w:styleId="Heading4" w:type="paragraph">
    <w:name w:val="heading 4"/>
    <w:basedOn w:val="Normal"/>
    <w:next w:val="BodyText"/>
    <w:link w:val="Heading4Char"/>
    <w:uiPriority w:val="9"/>
    <w:semiHidden/>
    <w:unhideWhenUsed/>
    <w:qFormat/>
    <w:rsid w:val="00A10FD9"/>
    <w:pPr>
      <w:keepNext/>
      <w:keepLines/>
      <w:spacing w:after="40" w:before="80"/>
      <w:outlineLvl w:val="3"/>
    </w:pPr>
    <w:rPr>
      <w:rFonts w:cstheme="majorBidi" w:eastAsiaTheme="majorEastAsia"/>
      <w:i/>
      <w:iCs/>
      <w:color w:themeColor="accent1" w:themeShade="BF" w:val="0F4761"/>
    </w:rPr>
  </w:style>
  <w:style w:styleId="Heading5" w:type="paragraph">
    <w:name w:val="heading 5"/>
    <w:basedOn w:val="Normal"/>
    <w:next w:val="BodyText"/>
    <w:link w:val="Heading5Char"/>
    <w:uiPriority w:val="9"/>
    <w:semiHidden/>
    <w:unhideWhenUsed/>
    <w:qFormat/>
    <w:rsid w:val="00A10FD9"/>
    <w:pPr>
      <w:keepNext/>
      <w:keepLines/>
      <w:spacing w:after="40" w:before="80"/>
      <w:outlineLvl w:val="4"/>
    </w:pPr>
    <w:rPr>
      <w:rFonts w:cstheme="majorBidi" w:eastAsiaTheme="majorEastAsia"/>
      <w:color w:themeColor="accent1" w:themeShade="BF" w:val="0F4761"/>
    </w:rPr>
  </w:style>
  <w:style w:styleId="Heading6" w:type="paragraph">
    <w:name w:val="heading 6"/>
    <w:basedOn w:val="Normal"/>
    <w:next w:val="BodyText"/>
    <w:link w:val="Heading6Char"/>
    <w:uiPriority w:val="9"/>
    <w:semiHidden/>
    <w:unhideWhenUsed/>
    <w:qFormat/>
    <w:rsid w:val="00A10FD9"/>
    <w:pPr>
      <w:keepNext/>
      <w:keepLines/>
      <w:spacing w:before="40"/>
      <w:outlineLvl w:val="5"/>
    </w:pPr>
    <w:rPr>
      <w:rFonts w:cstheme="majorBidi" w:eastAsiaTheme="majorEastAsia"/>
      <w:i/>
      <w:iCs/>
      <w:color w:themeColor="text1" w:themeTint="A6" w:val="595959"/>
    </w:rPr>
  </w:style>
  <w:style w:styleId="Heading7" w:type="paragraph">
    <w:name w:val="heading 7"/>
    <w:basedOn w:val="Normal"/>
    <w:next w:val="BodyText"/>
    <w:link w:val="Heading7Char"/>
    <w:uiPriority w:val="9"/>
    <w:semiHidden/>
    <w:unhideWhenUsed/>
    <w:qFormat/>
    <w:rsid w:val="00A10FD9"/>
    <w:pPr>
      <w:keepNext/>
      <w:keepLines/>
      <w:spacing w:before="40"/>
      <w:outlineLvl w:val="6"/>
    </w:pPr>
    <w:rPr>
      <w:rFonts w:cstheme="majorBidi" w:eastAsiaTheme="majorEastAsia"/>
      <w:color w:themeColor="text1" w:themeTint="A6" w:val="595959"/>
    </w:rPr>
  </w:style>
  <w:style w:styleId="Heading8" w:type="paragraph">
    <w:name w:val="heading 8"/>
    <w:basedOn w:val="Normal"/>
    <w:next w:val="BodyText"/>
    <w:link w:val="Heading8Char"/>
    <w:uiPriority w:val="9"/>
    <w:semiHidden/>
    <w:unhideWhenUsed/>
    <w:qFormat/>
    <w:rsid w:val="00A10FD9"/>
    <w:pPr>
      <w:keepNext/>
      <w:keepLines/>
      <w:outlineLvl w:val="7"/>
    </w:pPr>
    <w:rPr>
      <w:rFonts w:cstheme="majorBidi" w:eastAsiaTheme="majorEastAsia"/>
      <w:i/>
      <w:iCs/>
      <w:color w:themeColor="text1" w:themeTint="D8" w:val="272727"/>
    </w:rPr>
  </w:style>
  <w:style w:styleId="Heading9" w:type="paragraph">
    <w:name w:val="heading 9"/>
    <w:basedOn w:val="Normal"/>
    <w:next w:val="BodyText"/>
    <w:link w:val="Heading9Char"/>
    <w:uiPriority w:val="9"/>
    <w:semiHidden/>
    <w:unhideWhenUsed/>
    <w:qFormat/>
    <w:rsid w:val="00A10FD9"/>
    <w:pPr>
      <w:keepNext/>
      <w:keepLines/>
      <w:outlineLvl w:val="8"/>
    </w:pPr>
    <w:rPr>
      <w:rFonts w:cstheme="majorBidi" w:eastAsiaTheme="majorEastAsia"/>
      <w:color w:themeColor="text1" w:themeTint="D8" w:val="272727"/>
    </w:rPr>
  </w:style>
  <w:style w:default="1" w:styleId="DefaultParagraphFont" w:type="character">
    <w:name w:val="Default Paragraph Font"/>
    <w:uiPriority w:val="1"/>
    <w:semiHidden/>
    <w:unhideWhenUsed/>
  </w:style>
  <w:style w:default="1" w:styleId="Table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NoList" w:type="numbering">
    <w:name w:val="No List"/>
    <w:uiPriority w:val="99"/>
    <w:semiHidden/>
    <w:unhideWhenUsed/>
  </w:style>
  <w:style w:styleId="BodyText" w:type="paragraph">
    <w:name w:val="Body Text"/>
    <w:basedOn w:val="Normal"/>
    <w:qFormat/>
    <w:rsid w:val="0094649F"/>
    <w:pPr>
      <w:spacing w:after="180" w:before="180"/>
    </w:pPr>
  </w:style>
  <w:style w:customStyle="1" w:styleId="FirstParagraph" w:type="paragraph">
    <w:name w:val="First Paragraph"/>
    <w:basedOn w:val="BodyText"/>
    <w:next w:val="BodyText"/>
    <w:qFormat/>
  </w:style>
  <w:style w:customStyle="1" w:styleId="Compact" w:type="paragraph">
    <w:name w:val="Compact"/>
    <w:basedOn w:val="BodyText"/>
    <w:qFormat/>
    <w:pPr>
      <w:spacing w:after="36" w:before="36"/>
    </w:pPr>
  </w:style>
  <w:style w:styleId="Title" w:type="paragraph">
    <w:name w:val="Title"/>
    <w:basedOn w:val="Normal"/>
    <w:next w:val="BodyText"/>
    <w:link w:val="TitleChar"/>
    <w:uiPriority w:val="10"/>
    <w:qFormat/>
    <w:rsid w:val="00A10FD9"/>
    <w:pPr>
      <w:spacing w:after="80"/>
      <w:jc w:val="center"/>
    </w:pPr>
    <w:rPr>
      <w:rFonts w:asciiTheme="majorHAnsi" w:cstheme="majorBidi" w:eastAsiaTheme="majorEastAsia" w:hAnsiTheme="majorHAnsi"/>
      <w:spacing w:val="-10"/>
      <w:kern w:val="28"/>
      <w:sz w:val="56"/>
      <w:szCs w:val="56"/>
    </w:rPr>
  </w:style>
  <w:style w:customStyle="1" w:styleId="TitleChar" w:type="character">
    <w:name w:val="Title Char"/>
    <w:basedOn w:val="DefaultParagraphFont"/>
    <w:link w:val="Title"/>
    <w:uiPriority w:val="10"/>
    <w:rsid w:val="00A10FD9"/>
    <w:rPr>
      <w:rFonts w:asciiTheme="majorHAnsi" w:cstheme="majorBidi" w:eastAsiaTheme="majorEastAsia" w:hAnsiTheme="majorHAnsi"/>
      <w:spacing w:val="-10"/>
      <w:kern w:val="28"/>
      <w:sz w:val="56"/>
      <w:szCs w:val="56"/>
    </w:rPr>
  </w:style>
  <w:style w:styleId="Subtitle" w:type="paragraph">
    <w:name w:val="Subtitle"/>
    <w:basedOn w:val="Title"/>
    <w:next w:val="BodyText"/>
    <w:link w:val="SubtitleChar"/>
    <w:uiPriority w:val="11"/>
    <w:qFormat/>
    <w:rsid w:val="00A10FD9"/>
    <w:pPr>
      <w:numPr>
        <w:ilvl w:val="1"/>
      </w:numPr>
    </w:pPr>
    <w:rPr>
      <w:spacing w:val="15"/>
      <w:sz w:val="28"/>
      <w:szCs w:val="28"/>
    </w:rPr>
  </w:style>
  <w:style w:customStyle="1" w:styleId="SubtitleChar" w:type="character">
    <w:name w:val="Subtitle Char"/>
    <w:basedOn w:val="DefaultParagraphFont"/>
    <w:link w:val="Subtitle"/>
    <w:uiPriority w:val="11"/>
    <w:rsid w:val="00A10FD9"/>
    <w:rPr>
      <w:rFonts w:cstheme="majorBidi" w:eastAsiaTheme="majorEastAsia"/>
      <w:color w:themeColor="text1" w:themeTint="A6" w:val="595959"/>
      <w:spacing w:val="15"/>
      <w:sz w:val="28"/>
      <w:szCs w:val="28"/>
    </w:rPr>
  </w:style>
  <w:style w:customStyle="1" w:styleId="Author" w:type="paragraph">
    <w:name w:val="Author"/>
    <w:next w:val="BodyText"/>
    <w:qFormat/>
    <w:pPr>
      <w:keepNext/>
      <w:keepLines/>
      <w:jc w:val="center"/>
    </w:pPr>
  </w:style>
  <w:style w:styleId="Date" w:type="paragraph">
    <w:name w:val="Date"/>
    <w:next w:val="BodyText"/>
    <w:qFormat/>
    <w:pPr>
      <w:keepNext/>
      <w:keepLines/>
      <w:jc w:val="center"/>
    </w:pPr>
  </w:style>
  <w:style w:customStyle="1" w:styleId="AbstractTitle" w:type="paragraph">
    <w:name w:val="Abstract Title"/>
    <w:basedOn w:val="Normal"/>
    <w:next w:val="Abstract"/>
    <w:qFormat/>
    <w:pPr>
      <w:keepNext/>
      <w:keepLines/>
      <w:spacing w:before="300"/>
      <w:jc w:val="center"/>
    </w:pPr>
    <w:rPr>
      <w:b/>
      <w:sz w:val="20"/>
      <w:szCs w:val="20"/>
    </w:rPr>
  </w:style>
  <w:style w:customStyle="1" w:styleId="Abstract" w:type="paragraph">
    <w:name w:val="Abstract"/>
    <w:basedOn w:val="Normal"/>
    <w:next w:val="BodyText"/>
    <w:qFormat/>
    <w:pPr>
      <w:keepNext/>
      <w:keepLines/>
      <w:spacing w:after="300" w:before="100"/>
    </w:pPr>
    <w:rPr>
      <w:sz w:val="20"/>
      <w:szCs w:val="20"/>
    </w:rPr>
  </w:style>
  <w:style w:styleId="Bibliography" w:type="paragraph">
    <w:name w:val="Bibliography"/>
    <w:basedOn w:val="Normal"/>
    <w:qFormat/>
  </w:style>
  <w:style w:customStyle="1" w:styleId="Heading1Char" w:type="character">
    <w:name w:val="Heading 1 Char"/>
    <w:basedOn w:val="DefaultParagraphFont"/>
    <w:link w:val="Heading1"/>
    <w:uiPriority w:val="9"/>
    <w:rsid w:val="00A10FD9"/>
    <w:rPr>
      <w:rFonts w:asciiTheme="majorHAnsi" w:cstheme="majorBidi" w:eastAsiaTheme="majorEastAsia" w:hAnsiTheme="majorHAnsi"/>
      <w:color w:themeColor="accent1" w:themeShade="BF" w:val="0F4761"/>
      <w:sz w:val="40"/>
      <w:szCs w:val="40"/>
    </w:rPr>
  </w:style>
  <w:style w:customStyle="1" w:styleId="Heading2Char" w:type="character">
    <w:name w:val="Heading 2 Char"/>
    <w:basedOn w:val="DefaultParagraphFont"/>
    <w:link w:val="Heading2"/>
    <w:uiPriority w:val="9"/>
    <w:semiHidden/>
    <w:rsid w:val="00A10FD9"/>
    <w:rPr>
      <w:rFonts w:asciiTheme="majorHAnsi" w:cstheme="majorBidi" w:eastAsiaTheme="majorEastAsia" w:hAnsiTheme="majorHAnsi"/>
      <w:color w:themeColor="accent1" w:themeShade="BF" w:val="0F4761"/>
      <w:sz w:val="32"/>
      <w:szCs w:val="32"/>
    </w:rPr>
  </w:style>
  <w:style w:customStyle="1" w:styleId="Heading3Char" w:type="character">
    <w:name w:val="Heading 3 Char"/>
    <w:basedOn w:val="DefaultParagraphFont"/>
    <w:link w:val="Heading3"/>
    <w:uiPriority w:val="9"/>
    <w:semiHidden/>
    <w:rsid w:val="00A10FD9"/>
    <w:rPr>
      <w:rFonts w:cstheme="majorBidi" w:eastAsiaTheme="majorEastAsia"/>
      <w:color w:themeColor="accent1" w:themeShade="BF" w:val="0F4761"/>
      <w:sz w:val="28"/>
      <w:szCs w:val="28"/>
    </w:rPr>
  </w:style>
  <w:style w:customStyle="1" w:styleId="Heading4Char" w:type="character">
    <w:name w:val="Heading 4 Char"/>
    <w:basedOn w:val="DefaultParagraphFont"/>
    <w:link w:val="Heading4"/>
    <w:uiPriority w:val="9"/>
    <w:semiHidden/>
    <w:rsid w:val="00A10FD9"/>
    <w:rPr>
      <w:rFonts w:cstheme="majorBidi" w:eastAsiaTheme="majorEastAsia"/>
      <w:i/>
      <w:iCs/>
      <w:color w:themeColor="accent1" w:themeShade="BF" w:val="0F4761"/>
    </w:rPr>
  </w:style>
  <w:style w:customStyle="1" w:styleId="Heading5Char" w:type="character">
    <w:name w:val="Heading 5 Char"/>
    <w:basedOn w:val="DefaultParagraphFont"/>
    <w:link w:val="Heading5"/>
    <w:uiPriority w:val="9"/>
    <w:semiHidden/>
    <w:rsid w:val="00A10FD9"/>
    <w:rPr>
      <w:rFonts w:cstheme="majorBidi" w:eastAsiaTheme="majorEastAsia"/>
      <w:color w:themeColor="accent1" w:themeShade="BF" w:val="0F4761"/>
    </w:rPr>
  </w:style>
  <w:style w:customStyle="1" w:styleId="Heading6Char" w:type="character">
    <w:name w:val="Heading 6 Char"/>
    <w:basedOn w:val="DefaultParagraphFont"/>
    <w:link w:val="Heading6"/>
    <w:uiPriority w:val="9"/>
    <w:semiHidden/>
    <w:rsid w:val="00A10FD9"/>
    <w:rPr>
      <w:rFonts w:cstheme="majorBidi" w:eastAsiaTheme="majorEastAsia"/>
      <w:i/>
      <w:iCs/>
      <w:color w:themeColor="text1" w:themeTint="A6" w:val="595959"/>
    </w:rPr>
  </w:style>
  <w:style w:customStyle="1" w:styleId="Heading7Char" w:type="character">
    <w:name w:val="Heading 7 Char"/>
    <w:basedOn w:val="DefaultParagraphFont"/>
    <w:link w:val="Heading7"/>
    <w:uiPriority w:val="9"/>
    <w:semiHidden/>
    <w:rsid w:val="00A10FD9"/>
    <w:rPr>
      <w:rFonts w:cstheme="majorBidi" w:eastAsiaTheme="majorEastAsia"/>
      <w:color w:themeColor="text1" w:themeTint="A6" w:val="595959"/>
    </w:rPr>
  </w:style>
  <w:style w:customStyle="1" w:styleId="Heading8Char" w:type="character">
    <w:name w:val="Heading 8 Char"/>
    <w:basedOn w:val="DefaultParagraphFont"/>
    <w:link w:val="Heading8"/>
    <w:uiPriority w:val="9"/>
    <w:semiHidden/>
    <w:rsid w:val="00A10FD9"/>
    <w:rPr>
      <w:rFonts w:cstheme="majorBidi" w:eastAsiaTheme="majorEastAsia"/>
      <w:i/>
      <w:iCs/>
      <w:color w:themeColor="text1" w:themeTint="D8" w:val="272727"/>
    </w:rPr>
  </w:style>
  <w:style w:customStyle="1" w:styleId="Heading9Char" w:type="character">
    <w:name w:val="Heading 9 Char"/>
    <w:basedOn w:val="DefaultParagraphFont"/>
    <w:link w:val="Heading9"/>
    <w:uiPriority w:val="9"/>
    <w:semiHidden/>
    <w:rsid w:val="00A10FD9"/>
    <w:rPr>
      <w:rFonts w:cstheme="majorBidi" w:eastAsiaTheme="majorEastAsia"/>
      <w:color w:themeColor="text1" w:themeTint="D8" w:val="272727"/>
    </w:rPr>
  </w:style>
  <w:style w:styleId="BlockText" w:type="paragraph">
    <w:name w:val="Block Text"/>
    <w:basedOn w:val="BodyText"/>
    <w:next w:val="BodyText"/>
    <w:uiPriority w:val="9"/>
    <w:unhideWhenUsed/>
    <w:qFormat/>
    <w:pPr>
      <w:spacing w:after="100" w:before="100"/>
      <w:ind w:left="480" w:right="480"/>
    </w:pPr>
  </w:style>
  <w:style w:styleId="FootnoteText" w:type="paragraph">
    <w:name w:val="footnote text"/>
    <w:basedOn w:val="Normal"/>
    <w:uiPriority w:val="9"/>
    <w:unhideWhenUsed/>
    <w:qFormat/>
  </w:style>
  <w:style w:customStyle="1" w:styleId="FootnoteBlockText" w:type="paragraph">
    <w:name w:val="Footnote Block Text"/>
    <w:basedOn w:val="FootnoteText"/>
    <w:next w:val="FootnoteText"/>
    <w:uiPriority w:val="9"/>
    <w:unhideWhenUsed/>
    <w:qFormat/>
    <w:pPr>
      <w:spacing w:after="100" w:before="100"/>
      <w:ind w:left="480" w:right="480"/>
    </w:pPr>
  </w:style>
  <w:style w:customStyle="1" w:styleId="Table" w:type="table">
    <w:name w:val="Table"/>
    <w:semiHidden/>
    <w:unhideWhenUsed/>
    <w:qFormat/>
    <w:tblPr>
      <w:tblInd w:type="dxa" w:w="0"/>
      <w:tblCellMar>
        <w:top w:type="dxa" w:w="0"/>
        <w:left w:type="dxa" w:w="108"/>
        <w:bottom w:type="dxa" w:w="0"/>
        <w:right w:type="dxa" w:w="108"/>
      </w:tblCellMar>
    </w:tblPr>
    <w:tblStylePr w:type="firstRow">
      <w:tblPr>
        <w:jc w:val="left"/>
      </w:tblPr>
      <w:trPr>
        <w:jc w:val="left"/>
      </w:trPr>
      <w:tcPr>
        <w:tcBorders>
          <w:bottom w:color="auto" w:space="0" w:sz="0" w:val="single"/>
        </w:tcBorders>
        <w:vAlign w:val="bottom"/>
      </w:tcPr>
    </w:tblStylePr>
  </w:style>
  <w:style w:customStyle="1" w:styleId="DefinitionTerm" w:type="paragraph">
    <w:name w:val="Definition Term"/>
    <w:basedOn w:val="Normal"/>
    <w:next w:val="Definition"/>
    <w:pPr>
      <w:keepNext/>
      <w:keepLines/>
    </w:pPr>
    <w:rPr>
      <w:b/>
    </w:rPr>
  </w:style>
  <w:style w:customStyle="1" w:styleId="Definition" w:type="paragraph">
    <w:name w:val="Definition"/>
    <w:basedOn w:val="Normal"/>
  </w:style>
  <w:style w:styleId="Caption" w:type="paragraph">
    <w:name w:val="caption"/>
    <w:basedOn w:val="Normal"/>
    <w:link w:val="CaptionChar"/>
    <w:pPr>
      <w:spacing w:after="120"/>
    </w:pPr>
    <w:rPr>
      <w:i/>
    </w:rPr>
  </w:style>
  <w:style w:customStyle="1" w:styleId="TableCaption" w:type="paragraph">
    <w:name w:val="Table Caption"/>
    <w:basedOn w:val="Caption"/>
    <w:pPr>
      <w:keepNext/>
    </w:pPr>
  </w:style>
  <w:style w:customStyle="1" w:styleId="ImageCaption" w:type="paragraph">
    <w:name w:val="Image Caption"/>
    <w:basedOn w:val="Caption"/>
  </w:style>
  <w:style w:customStyle="1" w:styleId="Figure" w:type="paragraph">
    <w:name w:val="Figure"/>
    <w:basedOn w:val="Normal"/>
  </w:style>
  <w:style w:customStyle="1" w:styleId="CaptionedFigure" w:type="paragraph">
    <w:name w:val="Captioned Figure"/>
    <w:basedOn w:val="Figure"/>
    <w:pPr>
      <w:keepNext/>
    </w:pPr>
  </w:style>
  <w:style w:customStyle="1" w:styleId="CaptionChar" w:type="character">
    <w:name w:val="Caption Char"/>
    <w:basedOn w:val="DefaultParagraphFont"/>
    <w:link w:val="Caption"/>
  </w:style>
  <w:style w:customStyle="1" w:styleId="VerbatimChar" w:type="character">
    <w:name w:val="Verbatim Char"/>
    <w:basedOn w:val="CaptionChar"/>
    <w:link w:val="SourceCode"/>
    <w:rPr>
      <w:rFonts w:ascii="Consolas" w:hAnsi="Consolas"/>
      <w:sz w:val="22"/>
    </w:rPr>
  </w:style>
  <w:style w:customStyle="1" w:styleId="SectionNumber" w:type="character">
    <w:name w:val="Section Number"/>
    <w:basedOn w:val="CaptionChar"/>
  </w:style>
  <w:style w:styleId="FootnoteReference" w:type="character">
    <w:name w:val="footnote reference"/>
    <w:basedOn w:val="CaptionChar"/>
    <w:rPr>
      <w:vertAlign w:val="superscript"/>
    </w:rPr>
  </w:style>
  <w:style w:styleId="Hyperlink" w:type="character">
    <w:name w:val="Hyperlink"/>
    <w:basedOn w:val="CaptionChar"/>
    <w:rPr>
      <w:color w:themeColor="accent1" w:val="156082"/>
    </w:rPr>
  </w:style>
  <w:style w:styleId="TOCHeading" w:type="paragraph">
    <w:name w:val="TOC Heading"/>
    <w:basedOn w:val="Heading1"/>
    <w:next w:val="BodyText"/>
    <w:uiPriority w:val="39"/>
    <w:unhideWhenUsed/>
    <w:qFormat/>
    <w:pPr>
      <w:spacing w:before="240" w:line="259" w:lineRule="auto"/>
      <w:outlineLvl w:val="9"/>
    </w:pPr>
  </w:style>
  <w:style w:customStyle="1" w:styleId="SourceCode" w:type="paragraph">
    <w:name w:val="Source Code"/>
    <w:basedOn w:val="Normal"/>
    <w:link w:val="VerbatimChar"/>
    <w:pPr>
      <w:shd w:color="auto" w:fill="F1F3F5" w:val="clear"/>
      <w:wordWrap w:val="0"/>
    </w:pPr>
  </w:style>
  <w:style w:customStyle="1" w:styleId="KeywordTok" w:type="character">
    <w:name w:val="KeywordTok"/>
    <w:basedOn w:val="VerbatimChar"/>
    <w:rPr>
      <w:rFonts w:ascii="Consolas" w:hAnsi="Consolas"/>
      <w:b/>
      <w:color w:val="003B4F"/>
      <w:sz w:val="22"/>
      <w:shd w:color="auto" w:fill="F1F3F5" w:val="clear"/>
    </w:rPr>
  </w:style>
  <w:style w:customStyle="1" w:styleId="DataTypeTok" w:type="character">
    <w:name w:val="DataTypeTok"/>
    <w:basedOn w:val="VerbatimChar"/>
    <w:rPr>
      <w:rFonts w:ascii="Consolas" w:hAnsi="Consolas"/>
      <w:color w:val="AD0000"/>
      <w:sz w:val="22"/>
      <w:shd w:color="auto" w:fill="F1F3F5" w:val="clear"/>
    </w:rPr>
  </w:style>
  <w:style w:customStyle="1" w:styleId="DecValTok" w:type="character">
    <w:name w:val="DecValTok"/>
    <w:basedOn w:val="VerbatimChar"/>
    <w:rPr>
      <w:rFonts w:ascii="Consolas" w:hAnsi="Consolas"/>
      <w:color w:val="AD0000"/>
      <w:sz w:val="22"/>
      <w:shd w:color="auto" w:fill="F1F3F5" w:val="clear"/>
    </w:rPr>
  </w:style>
  <w:style w:customStyle="1" w:styleId="BaseNTok" w:type="character">
    <w:name w:val="BaseNTok"/>
    <w:basedOn w:val="VerbatimChar"/>
    <w:rPr>
      <w:rFonts w:ascii="Consolas" w:hAnsi="Consolas"/>
      <w:color w:val="AD0000"/>
      <w:sz w:val="22"/>
      <w:shd w:color="auto" w:fill="F1F3F5" w:val="clear"/>
    </w:rPr>
  </w:style>
  <w:style w:customStyle="1" w:styleId="FloatTok" w:type="character">
    <w:name w:val="FloatTok"/>
    <w:basedOn w:val="VerbatimChar"/>
    <w:rPr>
      <w:rFonts w:ascii="Consolas" w:hAnsi="Consolas"/>
      <w:color w:val="AD0000"/>
      <w:sz w:val="22"/>
      <w:shd w:color="auto" w:fill="F1F3F5" w:val="clear"/>
    </w:rPr>
  </w:style>
  <w:style w:customStyle="1" w:styleId="ConstantTok" w:type="character">
    <w:name w:val="ConstantTok"/>
    <w:basedOn w:val="VerbatimChar"/>
    <w:rPr>
      <w:rFonts w:ascii="Consolas" w:hAnsi="Consolas"/>
      <w:color w:val="8F5902"/>
      <w:sz w:val="22"/>
      <w:shd w:color="auto" w:fill="F1F3F5" w:val="clear"/>
    </w:rPr>
  </w:style>
  <w:style w:customStyle="1" w:styleId="CharTok" w:type="character">
    <w:name w:val="CharTok"/>
    <w:basedOn w:val="VerbatimChar"/>
    <w:rPr>
      <w:rFonts w:ascii="Consolas" w:hAnsi="Consolas"/>
      <w:color w:val="20794D"/>
      <w:sz w:val="22"/>
      <w:shd w:color="auto" w:fill="F1F3F5" w:val="clear"/>
    </w:rPr>
  </w:style>
  <w:style w:customStyle="1" w:styleId="SpecialCharTok" w:type="character">
    <w:name w:val="SpecialCharTok"/>
    <w:basedOn w:val="VerbatimChar"/>
    <w:rPr>
      <w:rFonts w:ascii="Consolas" w:hAnsi="Consolas"/>
      <w:color w:val="5E5E5E"/>
      <w:sz w:val="22"/>
      <w:shd w:color="auto" w:fill="F1F3F5" w:val="clear"/>
    </w:rPr>
  </w:style>
  <w:style w:customStyle="1" w:styleId="StringTok" w:type="character">
    <w:name w:val="StringTok"/>
    <w:basedOn w:val="VerbatimChar"/>
    <w:rPr>
      <w:rFonts w:ascii="Consolas" w:hAnsi="Consolas"/>
      <w:color w:val="20794D"/>
      <w:sz w:val="22"/>
      <w:shd w:color="auto" w:fill="F1F3F5" w:val="clear"/>
    </w:rPr>
  </w:style>
  <w:style w:customStyle="1" w:styleId="VerbatimStringTok" w:type="character">
    <w:name w:val="VerbatimStringTok"/>
    <w:basedOn w:val="VerbatimChar"/>
    <w:rPr>
      <w:rFonts w:ascii="Consolas" w:hAnsi="Consolas"/>
      <w:color w:val="20794D"/>
      <w:sz w:val="22"/>
      <w:shd w:color="auto" w:fill="F1F3F5" w:val="clear"/>
    </w:rPr>
  </w:style>
  <w:style w:customStyle="1" w:styleId="SpecialStringTok" w:type="character">
    <w:name w:val="SpecialStringTok"/>
    <w:basedOn w:val="VerbatimChar"/>
    <w:rPr>
      <w:rFonts w:ascii="Consolas" w:hAnsi="Consolas"/>
      <w:color w:val="20794D"/>
      <w:sz w:val="22"/>
      <w:shd w:color="auto" w:fill="F1F3F5" w:val="clear"/>
    </w:rPr>
  </w:style>
  <w:style w:customStyle="1" w:styleId="ImportTok" w:type="character">
    <w:name w:val="ImportTok"/>
    <w:basedOn w:val="VerbatimChar"/>
    <w:rPr>
      <w:rFonts w:ascii="Consolas" w:hAnsi="Consolas"/>
      <w:color w:val="00769E"/>
      <w:sz w:val="22"/>
      <w:shd w:color="auto" w:fill="F1F3F5" w:val="clear"/>
    </w:rPr>
  </w:style>
  <w:style w:customStyle="1" w:styleId="CommentTok" w:type="character">
    <w:name w:val="CommentTok"/>
    <w:basedOn w:val="VerbatimChar"/>
    <w:rPr>
      <w:rFonts w:ascii="Consolas" w:hAnsi="Consolas"/>
      <w:color w:val="5E5E5E"/>
      <w:sz w:val="22"/>
      <w:shd w:color="auto" w:fill="F1F3F5" w:val="clear"/>
    </w:rPr>
  </w:style>
  <w:style w:customStyle="1" w:styleId="DocumentationTok" w:type="character">
    <w:name w:val="DocumentationTok"/>
    <w:basedOn w:val="VerbatimChar"/>
    <w:rPr>
      <w:rFonts w:ascii="Consolas" w:hAnsi="Consolas"/>
      <w:i/>
      <w:color w:val="5E5E5E"/>
      <w:sz w:val="22"/>
      <w:shd w:color="auto" w:fill="F1F3F5" w:val="clear"/>
    </w:rPr>
  </w:style>
  <w:style w:customStyle="1" w:styleId="AnnotationTok" w:type="character">
    <w:name w:val="AnnotationTok"/>
    <w:basedOn w:val="VerbatimChar"/>
    <w:rPr>
      <w:rFonts w:ascii="Consolas" w:hAnsi="Consolas"/>
      <w:color w:val="5E5E5E"/>
      <w:sz w:val="22"/>
      <w:shd w:color="auto" w:fill="F1F3F5" w:val="clear"/>
    </w:rPr>
  </w:style>
  <w:style w:customStyle="1" w:styleId="CommentVarTok" w:type="character">
    <w:name w:val="CommentVarTok"/>
    <w:basedOn w:val="VerbatimChar"/>
    <w:rPr>
      <w:rFonts w:ascii="Consolas" w:hAnsi="Consolas"/>
      <w:i/>
      <w:color w:val="5E5E5E"/>
      <w:sz w:val="22"/>
      <w:shd w:color="auto" w:fill="F1F3F5" w:val="clear"/>
    </w:rPr>
  </w:style>
  <w:style w:customStyle="1" w:styleId="OtherTok" w:type="character">
    <w:name w:val="OtherTok"/>
    <w:basedOn w:val="VerbatimChar"/>
    <w:rPr>
      <w:rFonts w:ascii="Consolas" w:hAnsi="Consolas"/>
      <w:color w:val="003B4F"/>
      <w:sz w:val="22"/>
      <w:shd w:color="auto" w:fill="F1F3F5" w:val="clear"/>
    </w:rPr>
  </w:style>
  <w:style w:customStyle="1" w:styleId="FunctionTok" w:type="character">
    <w:name w:val="FunctionTok"/>
    <w:basedOn w:val="VerbatimChar"/>
    <w:rPr>
      <w:rFonts w:ascii="Consolas" w:hAnsi="Consolas"/>
      <w:color w:val="4758AB"/>
      <w:sz w:val="22"/>
      <w:shd w:color="auto" w:fill="F1F3F5" w:val="clear"/>
    </w:rPr>
  </w:style>
  <w:style w:customStyle="1" w:styleId="VariableTok" w:type="character">
    <w:name w:val="VariableTok"/>
    <w:basedOn w:val="VerbatimChar"/>
    <w:rPr>
      <w:rFonts w:ascii="Consolas" w:hAnsi="Consolas"/>
      <w:color w:val="111111"/>
      <w:sz w:val="22"/>
      <w:shd w:color="auto" w:fill="F1F3F5" w:val="clear"/>
    </w:rPr>
  </w:style>
  <w:style w:customStyle="1" w:styleId="ControlFlowTok" w:type="character">
    <w:name w:val="ControlFlowTok"/>
    <w:basedOn w:val="VerbatimChar"/>
    <w:rPr>
      <w:rFonts w:ascii="Consolas" w:hAnsi="Consolas"/>
      <w:b/>
      <w:color w:val="003B4F"/>
      <w:sz w:val="22"/>
      <w:shd w:color="auto" w:fill="F1F3F5" w:val="clear"/>
    </w:rPr>
  </w:style>
  <w:style w:customStyle="1" w:styleId="OperatorTok" w:type="character">
    <w:name w:val="OperatorTok"/>
    <w:basedOn w:val="VerbatimChar"/>
    <w:rPr>
      <w:rFonts w:ascii="Consolas" w:hAnsi="Consolas"/>
      <w:color w:val="5E5E5E"/>
      <w:sz w:val="22"/>
      <w:shd w:color="auto" w:fill="F1F3F5" w:val="clear"/>
    </w:rPr>
  </w:style>
  <w:style w:customStyle="1" w:styleId="BuiltInTok" w:type="character">
    <w:name w:val="BuiltInTok"/>
    <w:basedOn w:val="VerbatimChar"/>
    <w:rPr>
      <w:rFonts w:ascii="Consolas" w:hAnsi="Consolas"/>
      <w:color w:val="003B4F"/>
      <w:sz w:val="22"/>
      <w:shd w:color="auto" w:fill="F1F3F5" w:val="clear"/>
    </w:rPr>
  </w:style>
  <w:style w:customStyle="1" w:styleId="ExtensionTok" w:type="character">
    <w:name w:val="ExtensionTok"/>
    <w:basedOn w:val="VerbatimChar"/>
    <w:rPr>
      <w:rFonts w:ascii="Consolas" w:hAnsi="Consolas"/>
      <w:color w:val="003B4F"/>
      <w:sz w:val="22"/>
      <w:shd w:color="auto" w:fill="F1F3F5" w:val="clear"/>
    </w:rPr>
  </w:style>
  <w:style w:customStyle="1" w:styleId="PreprocessorTok" w:type="character">
    <w:name w:val="PreprocessorTok"/>
    <w:basedOn w:val="VerbatimChar"/>
    <w:rPr>
      <w:rFonts w:ascii="Consolas" w:hAnsi="Consolas"/>
      <w:color w:val="AD0000"/>
      <w:sz w:val="22"/>
      <w:shd w:color="auto" w:fill="F1F3F5" w:val="clear"/>
    </w:rPr>
  </w:style>
  <w:style w:customStyle="1" w:styleId="AttributeTok" w:type="character">
    <w:name w:val="AttributeTok"/>
    <w:basedOn w:val="VerbatimChar"/>
    <w:rPr>
      <w:rFonts w:ascii="Consolas" w:hAnsi="Consolas"/>
      <w:color w:val="657422"/>
      <w:sz w:val="22"/>
      <w:shd w:color="auto" w:fill="F1F3F5" w:val="clear"/>
    </w:rPr>
  </w:style>
  <w:style w:customStyle="1" w:styleId="RegionMarkerTok" w:type="character">
    <w:name w:val="RegionMarkerTok"/>
    <w:basedOn w:val="VerbatimChar"/>
    <w:rPr>
      <w:rFonts w:ascii="Consolas" w:hAnsi="Consolas"/>
      <w:color w:val="003B4F"/>
      <w:sz w:val="22"/>
      <w:shd w:color="auto" w:fill="F1F3F5" w:val="clear"/>
    </w:rPr>
  </w:style>
  <w:style w:customStyle="1" w:styleId="InformationTok" w:type="character">
    <w:name w:val="InformationTok"/>
    <w:basedOn w:val="VerbatimChar"/>
    <w:rPr>
      <w:rFonts w:ascii="Consolas" w:hAnsi="Consolas"/>
      <w:color w:val="5E5E5E"/>
      <w:sz w:val="22"/>
      <w:shd w:color="auto" w:fill="F1F3F5" w:val="clear"/>
    </w:rPr>
  </w:style>
  <w:style w:customStyle="1" w:styleId="WarningTok" w:type="character">
    <w:name w:val="WarningTok"/>
    <w:basedOn w:val="VerbatimChar"/>
    <w:rPr>
      <w:rFonts w:ascii="Consolas" w:hAnsi="Consolas"/>
      <w:i/>
      <w:color w:val="5E5E5E"/>
      <w:sz w:val="22"/>
      <w:shd w:color="auto" w:fill="F1F3F5" w:val="clear"/>
    </w:rPr>
  </w:style>
  <w:style w:customStyle="1" w:styleId="AlertTok" w:type="character">
    <w:name w:val="AlertTok"/>
    <w:basedOn w:val="VerbatimChar"/>
    <w:rPr>
      <w:rFonts w:ascii="Consolas" w:hAnsi="Consolas"/>
      <w:color w:val="AD0000"/>
      <w:sz w:val="22"/>
      <w:shd w:color="auto" w:fill="F1F3F5" w:val="clear"/>
    </w:rPr>
  </w:style>
  <w:style w:customStyle="1" w:styleId="ErrorTok" w:type="character">
    <w:name w:val="ErrorTok"/>
    <w:basedOn w:val="VerbatimChar"/>
    <w:rPr>
      <w:rFonts w:ascii="Consolas" w:hAnsi="Consolas"/>
      <w:color w:val="AD0000"/>
      <w:sz w:val="22"/>
      <w:shd w:color="auto" w:fill="F1F3F5" w:val="clear"/>
    </w:rPr>
  </w:style>
  <w:style w:customStyle="1" w:styleId="NormalTok" w:type="character">
    <w:name w:val="NormalTok"/>
    <w:basedOn w:val="VerbatimChar"/>
    <w:rPr>
      <w:rFonts w:ascii="Consolas" w:hAnsi="Consolas"/>
      <w:color w:val="003B4F"/>
      <w:sz w:val="22"/>
      <w:shd w:color="auto" w:fill="F1F3F5" w:val="clea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allowPNG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" Target="numbering.xml" /><Relationship Type="http://schemas.openxmlformats.org/officeDocument/2006/relationships/styles" Id="rId2" Target="styles.xml" /><Relationship Type="http://schemas.openxmlformats.org/officeDocument/2006/relationships/settings" Id="rId3" Target="settings.xml" /><Relationship Type="http://schemas.openxmlformats.org/officeDocument/2006/relationships/webSettings" Id="rId4" Target="webSettings.xml" /><Relationship Type="http://schemas.openxmlformats.org/officeDocument/2006/relationships/fontTable" Id="rId5" Target="fontTable.xml" /><Relationship Type="http://schemas.openxmlformats.org/officeDocument/2006/relationships/theme" Id="rId6" Target="theme/theme1.xml" /><Relationship Type="http://schemas.openxmlformats.org/officeDocument/2006/relationships/footnotes" Id="rId7" Target="footnotes.xml" /><Relationship Type="http://schemas.openxmlformats.org/officeDocument/2006/relationships/comments" Id="rId8" Target="comments.xml" /><Relationship Type="http://schemas.openxmlformats.org/officeDocument/2006/relationships/image" Id="rId26" Target="media/rId26.png" /><Relationship Type="http://schemas.openxmlformats.org/officeDocument/2006/relationships/image" Id="rId29" Target="media/rId29.png" /><Relationship Type="http://schemas.openxmlformats.org/officeDocument/2006/relationships/image" Id="rId20" Target="media/rId20.png" /><Relationship Type="http://schemas.openxmlformats.org/officeDocument/2006/relationships/image" Id="rId50" Target="media/rId50.png" /><Relationship Type="http://schemas.openxmlformats.org/officeDocument/2006/relationships/image" Id="rId23" Target="media/rId23.png" /><Relationship Type="http://schemas.openxmlformats.org/officeDocument/2006/relationships/image" Id="rId47" Target="media/rId47.png" /><Relationship Type="http://schemas.openxmlformats.org/officeDocument/2006/relationships/image" Id="rId44" Target="media/rId44.png" /><Relationship Type="http://schemas.openxmlformats.org/officeDocument/2006/relationships/image" Id="rId41" Target="media/rId41.png" /><Relationship Type="http://schemas.openxmlformats.org/officeDocument/2006/relationships/image" Id="rId38" Target="media/rId38.png" /><Relationship Type="http://schemas.openxmlformats.org/officeDocument/2006/relationships/image" Id="rId35" Target="media/rId35.png" /><Relationship Type="http://schemas.openxmlformats.org/officeDocument/2006/relationships/image" Id="rId32" Target="media/rId32.png" /></Relationships>
</file>

<file path=word/_rels/footnotes.xml.rels><?xml version="1.0" encoding="UTF-8"?><Relationships xmlns="http://schemas.openxmlformats.org/package/2006/relationships" /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>WBG</Company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Mass valuation of agricultural land in Ukraine: regression results</dc:title>
  <dc:creator>Eduard Bukin ebukin@worldbank.org</dc:creator>
  <cp:keywords/>
  <dcterms:created xsi:type="dcterms:W3CDTF">2024-12-03T14:18:31Z</dcterms:created>
  <dcterms:modified xsi:type="dcterms:W3CDTF">2024-12-03T14:18:31Z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uthors">
    <vt:lpwstr/>
  </property>
  <property fmtid="{D5CDD505-2E9C-101B-9397-08002B2CF9AE}" pid="3" name="biblio-config">
    <vt:lpwstr>True</vt:lpwstr>
  </property>
  <property fmtid="{D5CDD505-2E9C-101B-9397-08002B2CF9AE}" pid="4" name="by-author">
    <vt:lpwstr/>
  </property>
  <property fmtid="{D5CDD505-2E9C-101B-9397-08002B2CF9AE}" pid="5" name="date">
    <vt:lpwstr>2024-11-20</vt:lpwstr>
  </property>
  <property fmtid="{D5CDD505-2E9C-101B-9397-08002B2CF9AE}" pid="6" name="editor">
    <vt:lpwstr>source</vt:lpwstr>
  </property>
  <property fmtid="{D5CDD505-2E9C-101B-9397-08002B2CF9AE}" pid="7" name="editor_options">
    <vt:lpwstr/>
  </property>
  <property fmtid="{D5CDD505-2E9C-101B-9397-08002B2CF9AE}" pid="8" name="header-includes">
    <vt:lpwstr/>
  </property>
  <property fmtid="{D5CDD505-2E9C-101B-9397-08002B2CF9AE}" pid="9" name="include-after">
    <vt:lpwstr/>
  </property>
  <property fmtid="{D5CDD505-2E9C-101B-9397-08002B2CF9AE}" pid="10" name="include-before">
    <vt:lpwstr/>
  </property>
  <property fmtid="{D5CDD505-2E9C-101B-9397-08002B2CF9AE}" pid="11" name="labels">
    <vt:lpwstr/>
  </property>
  <property fmtid="{D5CDD505-2E9C-101B-9397-08002B2CF9AE}" pid="12" name="toc-title">
    <vt:lpwstr>Table of contents</vt:lpwstr>
  </property>
</Properties>
</file>